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325" w:rsidRDefault="006A5325" w:rsidP="00BB2937">
      <w:pPr>
        <w:spacing w:line="240" w:lineRule="auto"/>
        <w:jc w:val="both"/>
        <w:rPr>
          <w:b/>
          <w:sz w:val="28"/>
          <w:szCs w:val="24"/>
        </w:rPr>
      </w:pPr>
      <w:bookmarkStart w:id="0" w:name="_GoBack"/>
      <w:bookmarkEnd w:id="0"/>
    </w:p>
    <w:p w:rsidR="00CA7298" w:rsidRPr="006A5325" w:rsidRDefault="000642A3" w:rsidP="00BB2937">
      <w:pPr>
        <w:spacing w:line="240" w:lineRule="auto"/>
        <w:jc w:val="both"/>
        <w:rPr>
          <w:b/>
          <w:sz w:val="28"/>
          <w:szCs w:val="24"/>
        </w:rPr>
      </w:pPr>
      <w:r w:rsidRPr="00B676BC">
        <w:rPr>
          <w:b/>
          <w:sz w:val="28"/>
          <w:szCs w:val="24"/>
        </w:rPr>
        <w:t>KÜRESEL KRİZ SÜRECİNDE TÜRK BANKACILIK SEKTÖRÜNÜN GENEL GÖRÜNÜMÜ VE SONUÇLARI</w:t>
      </w:r>
    </w:p>
    <w:p w:rsidR="00DE15B5" w:rsidRPr="00DE15B5" w:rsidRDefault="00DE15B5" w:rsidP="00BB2937">
      <w:pPr>
        <w:spacing w:line="240" w:lineRule="auto"/>
        <w:ind w:firstLine="708"/>
        <w:jc w:val="both"/>
        <w:rPr>
          <w:b/>
          <w:sz w:val="24"/>
          <w:szCs w:val="24"/>
        </w:rPr>
      </w:pPr>
      <w:r w:rsidRPr="00DE15B5">
        <w:rPr>
          <w:b/>
          <w:sz w:val="24"/>
          <w:szCs w:val="24"/>
        </w:rPr>
        <w:t>Giriş</w:t>
      </w:r>
    </w:p>
    <w:p w:rsidR="00CA7298" w:rsidRPr="00B676BC" w:rsidRDefault="00CA7298" w:rsidP="00BB2937">
      <w:pPr>
        <w:spacing w:line="240" w:lineRule="auto"/>
        <w:ind w:firstLine="708"/>
        <w:jc w:val="both"/>
        <w:rPr>
          <w:sz w:val="24"/>
          <w:szCs w:val="24"/>
        </w:rPr>
      </w:pPr>
      <w:r w:rsidRPr="00B676BC">
        <w:rPr>
          <w:sz w:val="24"/>
          <w:szCs w:val="24"/>
        </w:rPr>
        <w:t>Ülkelerin güçlü ve istikrarlı bir ekonomiye sahip olabilmeleri açısından anahtar bir rol oynayan bankacılık sektörü, bütün dünyada olduğu gibi ülkemizde de yaşanan son küresel krizden etkilenerek</w:t>
      </w:r>
      <w:r w:rsidR="00CF7F74" w:rsidRPr="00B676BC">
        <w:rPr>
          <w:sz w:val="24"/>
          <w:szCs w:val="24"/>
        </w:rPr>
        <w:t xml:space="preserve"> çeşitli olumsuzluklar yaşamış</w:t>
      </w:r>
      <w:r w:rsidR="00130C81">
        <w:rPr>
          <w:sz w:val="24"/>
          <w:szCs w:val="24"/>
        </w:rPr>
        <w:t>,</w:t>
      </w:r>
      <w:r w:rsidR="00CF7F74" w:rsidRPr="00B676BC">
        <w:rPr>
          <w:sz w:val="24"/>
          <w:szCs w:val="24"/>
        </w:rPr>
        <w:t xml:space="preserve"> ancak </w:t>
      </w:r>
      <w:r w:rsidR="00FE7C60" w:rsidRPr="00B676BC">
        <w:rPr>
          <w:sz w:val="24"/>
          <w:szCs w:val="24"/>
        </w:rPr>
        <w:t>2000-2001 yılları</w:t>
      </w:r>
      <w:r w:rsidRPr="00B676BC">
        <w:rPr>
          <w:sz w:val="24"/>
          <w:szCs w:val="24"/>
        </w:rPr>
        <w:t xml:space="preserve"> sonrasında alınmış</w:t>
      </w:r>
      <w:r w:rsidR="00FE7C60" w:rsidRPr="00B676BC">
        <w:rPr>
          <w:sz w:val="24"/>
          <w:szCs w:val="24"/>
        </w:rPr>
        <w:t xml:space="preserve"> olan</w:t>
      </w:r>
      <w:r w:rsidRPr="00B676BC">
        <w:rPr>
          <w:sz w:val="24"/>
          <w:szCs w:val="24"/>
        </w:rPr>
        <w:t xml:space="preserve"> önl</w:t>
      </w:r>
      <w:r w:rsidR="00CF7F74" w:rsidRPr="00B676BC">
        <w:rPr>
          <w:sz w:val="24"/>
          <w:szCs w:val="24"/>
        </w:rPr>
        <w:t>em ve yapılandırmalar sayesinde</w:t>
      </w:r>
      <w:r w:rsidRPr="00B676BC">
        <w:rPr>
          <w:sz w:val="24"/>
          <w:szCs w:val="24"/>
        </w:rPr>
        <w:t xml:space="preserve"> diğer ülkelere nazaran bu süreci daha az kayıplarla kapatmıştır.</w:t>
      </w:r>
    </w:p>
    <w:p w:rsidR="00CF7F74" w:rsidRPr="00B676BC" w:rsidRDefault="00CF7F74" w:rsidP="00BB2937">
      <w:pPr>
        <w:spacing w:line="240" w:lineRule="auto"/>
        <w:ind w:firstLine="708"/>
        <w:jc w:val="both"/>
        <w:rPr>
          <w:sz w:val="24"/>
          <w:szCs w:val="24"/>
        </w:rPr>
      </w:pPr>
      <w:r w:rsidRPr="00B676BC">
        <w:rPr>
          <w:sz w:val="24"/>
          <w:szCs w:val="24"/>
        </w:rPr>
        <w:t>Küresel kriz ve bankacılık sektörü üzerine etkilerin</w:t>
      </w:r>
      <w:r w:rsidR="00130C81">
        <w:rPr>
          <w:sz w:val="24"/>
          <w:szCs w:val="24"/>
        </w:rPr>
        <w:t xml:space="preserve">i incelemeden </w:t>
      </w:r>
      <w:r w:rsidRPr="00B676BC">
        <w:rPr>
          <w:sz w:val="24"/>
          <w:szCs w:val="24"/>
        </w:rPr>
        <w:t xml:space="preserve">önce küreselleşme kavramının dikkatlice irdelenmesi ve değerlendirilmesi gerekmektedir. Buna göre siyasi, ekonomik ve hatta beşeri değerlerde ülkesel sınırları ve farklılıkları ortadan kaldıran bir kavram olarak ortaya çıkan </w:t>
      </w:r>
      <w:r w:rsidR="00130C81">
        <w:rPr>
          <w:sz w:val="24"/>
          <w:szCs w:val="24"/>
        </w:rPr>
        <w:t>küreselleşme hareketi,</w:t>
      </w:r>
      <w:r w:rsidRPr="00B676BC">
        <w:rPr>
          <w:sz w:val="24"/>
          <w:szCs w:val="24"/>
        </w:rPr>
        <w:t xml:space="preserve">  </w:t>
      </w:r>
      <w:r w:rsidR="00912E10" w:rsidRPr="00B676BC">
        <w:rPr>
          <w:sz w:val="24"/>
          <w:szCs w:val="24"/>
        </w:rPr>
        <w:t xml:space="preserve">20. Yüzyıla damgasını vurarak tüm dünyaya yayılmış ve küreselleşen sermayenin de etkisiyle giderek </w:t>
      </w:r>
      <w:r w:rsidR="00130C81">
        <w:rPr>
          <w:sz w:val="24"/>
          <w:szCs w:val="24"/>
        </w:rPr>
        <w:t>yayılımcı</w:t>
      </w:r>
      <w:r w:rsidR="00912E10" w:rsidRPr="00B676BC">
        <w:rPr>
          <w:sz w:val="24"/>
          <w:szCs w:val="24"/>
        </w:rPr>
        <w:t xml:space="preserve"> gücünü arttırmıştır.</w:t>
      </w:r>
    </w:p>
    <w:p w:rsidR="00CA7298" w:rsidRDefault="0095544A" w:rsidP="00BB2937">
      <w:pPr>
        <w:spacing w:line="240" w:lineRule="auto"/>
        <w:ind w:firstLine="708"/>
        <w:jc w:val="both"/>
        <w:rPr>
          <w:sz w:val="24"/>
          <w:szCs w:val="24"/>
        </w:rPr>
      </w:pPr>
      <w:r w:rsidRPr="00B676BC">
        <w:rPr>
          <w:sz w:val="24"/>
          <w:szCs w:val="24"/>
        </w:rPr>
        <w:t xml:space="preserve">Esasen küreselleşme kavramı yenidünya düzeni ya da bilgi çağı olarak tanımlandığından beri geçen yaklaşık 30 yılda önce dünya pazarlarını bütünleştirmiş ardından diğer alanlara da sirayet ederek ekonominin ilerisinde teknolojik, sosyolojik ve siyasal bir kavram haline gelmiştir. Bu noktada bizim için önem arz eden ekonomik gelişim; mal, sermaye ve emek transferlerinin artmasıyla ortaya çıkan ekonomik ilişkilerin yoğunlaşması ve yakınlaşmasıdır. Üretim </w:t>
      </w:r>
      <w:r w:rsidR="004E4E64" w:rsidRPr="00B676BC">
        <w:rPr>
          <w:sz w:val="24"/>
          <w:szCs w:val="24"/>
        </w:rPr>
        <w:t>ve sermaye birikim süreci</w:t>
      </w:r>
      <w:r w:rsidR="004C6C58" w:rsidRPr="00B676BC">
        <w:rPr>
          <w:sz w:val="24"/>
          <w:szCs w:val="24"/>
        </w:rPr>
        <w:t xml:space="preserve"> olmak üzere iki temel </w:t>
      </w:r>
      <w:r w:rsidR="004E4E64" w:rsidRPr="00B676BC">
        <w:rPr>
          <w:sz w:val="24"/>
          <w:szCs w:val="24"/>
        </w:rPr>
        <w:t>bileşene</w:t>
      </w:r>
      <w:r w:rsidR="004C6C58" w:rsidRPr="00B676BC">
        <w:rPr>
          <w:sz w:val="24"/>
          <w:szCs w:val="24"/>
        </w:rPr>
        <w:t xml:space="preserve"> dayanan bu gelişim</w:t>
      </w:r>
      <w:r w:rsidR="004E4E64" w:rsidRPr="00B676BC">
        <w:rPr>
          <w:sz w:val="24"/>
          <w:szCs w:val="24"/>
        </w:rPr>
        <w:t xml:space="preserve"> süreci,</w:t>
      </w:r>
      <w:r w:rsidR="004C6C58" w:rsidRPr="00B676BC">
        <w:rPr>
          <w:sz w:val="24"/>
          <w:szCs w:val="24"/>
        </w:rPr>
        <w:t xml:space="preserve"> </w:t>
      </w:r>
      <w:r w:rsidR="004E4E64" w:rsidRPr="00B676BC">
        <w:rPr>
          <w:sz w:val="24"/>
          <w:szCs w:val="24"/>
        </w:rPr>
        <w:t xml:space="preserve">özellikle sermaye hareketlerindeki serbestleşmenin itici gücüyle yeni yatırım araçlarının </w:t>
      </w:r>
      <w:r w:rsidR="00130C81">
        <w:rPr>
          <w:sz w:val="24"/>
          <w:szCs w:val="24"/>
        </w:rPr>
        <w:t xml:space="preserve">ve finansal ürünlerin çeşitlenmesini sağlamış, </w:t>
      </w:r>
      <w:r w:rsidR="0082146B" w:rsidRPr="00B676BC">
        <w:rPr>
          <w:sz w:val="24"/>
          <w:szCs w:val="24"/>
        </w:rPr>
        <w:t>böylece</w:t>
      </w:r>
      <w:r w:rsidR="004E4E64" w:rsidRPr="00B676BC">
        <w:rPr>
          <w:sz w:val="24"/>
          <w:szCs w:val="24"/>
        </w:rPr>
        <w:t xml:space="preserve"> </w:t>
      </w:r>
      <w:r w:rsidR="00130C81">
        <w:rPr>
          <w:sz w:val="24"/>
          <w:szCs w:val="24"/>
        </w:rPr>
        <w:t xml:space="preserve">küresel </w:t>
      </w:r>
      <w:r w:rsidR="004E4E64" w:rsidRPr="00B676BC">
        <w:rPr>
          <w:sz w:val="24"/>
          <w:szCs w:val="24"/>
        </w:rPr>
        <w:t xml:space="preserve">sermayenin dolaşımı önündeki tüm engelleri </w:t>
      </w:r>
      <w:r w:rsidR="0082146B" w:rsidRPr="00B676BC">
        <w:rPr>
          <w:sz w:val="24"/>
          <w:szCs w:val="24"/>
        </w:rPr>
        <w:t xml:space="preserve">ortadan </w:t>
      </w:r>
      <w:r w:rsidR="004E4E64" w:rsidRPr="00B676BC">
        <w:rPr>
          <w:sz w:val="24"/>
          <w:szCs w:val="24"/>
        </w:rPr>
        <w:t>kaldırmıştır.</w:t>
      </w:r>
    </w:p>
    <w:p w:rsidR="00D93AF0" w:rsidRDefault="005365C1" w:rsidP="00BB2937">
      <w:pPr>
        <w:spacing w:line="240" w:lineRule="auto"/>
        <w:ind w:firstLine="708"/>
        <w:jc w:val="both"/>
        <w:rPr>
          <w:sz w:val="24"/>
          <w:szCs w:val="24"/>
        </w:rPr>
      </w:pPr>
      <w:r>
        <w:rPr>
          <w:sz w:val="24"/>
          <w:szCs w:val="24"/>
        </w:rPr>
        <w:t>Küreselleşme ile sermayenin önündek</w:t>
      </w:r>
      <w:r w:rsidR="00130C81">
        <w:rPr>
          <w:sz w:val="24"/>
          <w:szCs w:val="24"/>
        </w:rPr>
        <w:t>i engellerin ortadan kalkması</w:t>
      </w:r>
      <w:r>
        <w:rPr>
          <w:sz w:val="24"/>
          <w:szCs w:val="24"/>
        </w:rPr>
        <w:t xml:space="preserve"> pozitif </w:t>
      </w:r>
      <w:r w:rsidR="00514130">
        <w:rPr>
          <w:sz w:val="24"/>
          <w:szCs w:val="24"/>
        </w:rPr>
        <w:t>açıd</w:t>
      </w:r>
      <w:r w:rsidR="00130C81">
        <w:rPr>
          <w:sz w:val="24"/>
          <w:szCs w:val="24"/>
        </w:rPr>
        <w:t xml:space="preserve">an olduğu </w:t>
      </w:r>
      <w:r>
        <w:rPr>
          <w:sz w:val="24"/>
          <w:szCs w:val="24"/>
        </w:rPr>
        <w:t xml:space="preserve">kadar negatif </w:t>
      </w:r>
      <w:r w:rsidR="00130C81">
        <w:rPr>
          <w:sz w:val="24"/>
          <w:szCs w:val="24"/>
        </w:rPr>
        <w:t>açıdan da</w:t>
      </w:r>
      <w:r>
        <w:rPr>
          <w:sz w:val="24"/>
          <w:szCs w:val="24"/>
        </w:rPr>
        <w:t xml:space="preserve"> son 30 yıla damga</w:t>
      </w:r>
      <w:r w:rsidR="00130C81">
        <w:rPr>
          <w:sz w:val="24"/>
          <w:szCs w:val="24"/>
        </w:rPr>
        <w:t>sını</w:t>
      </w:r>
      <w:r>
        <w:rPr>
          <w:sz w:val="24"/>
          <w:szCs w:val="24"/>
        </w:rPr>
        <w:t xml:space="preserve"> vurmuştur. Bu negatif yönlerin başında gelen bulaşma etkisi, </w:t>
      </w:r>
      <w:r w:rsidR="006966EE">
        <w:rPr>
          <w:sz w:val="24"/>
          <w:szCs w:val="24"/>
        </w:rPr>
        <w:t>bilgi teknolojilerindeki geliş</w:t>
      </w:r>
      <w:r>
        <w:rPr>
          <w:sz w:val="24"/>
          <w:szCs w:val="24"/>
        </w:rPr>
        <w:t>me</w:t>
      </w:r>
      <w:r w:rsidR="006966EE">
        <w:rPr>
          <w:sz w:val="24"/>
          <w:szCs w:val="24"/>
        </w:rPr>
        <w:t>lerin etkisiyle</w:t>
      </w:r>
      <w:r>
        <w:rPr>
          <w:sz w:val="24"/>
          <w:szCs w:val="24"/>
        </w:rPr>
        <w:t xml:space="preserve"> bir ülkede meydana gelen olumsuz bir durumu</w:t>
      </w:r>
      <w:r w:rsidR="006966EE">
        <w:rPr>
          <w:sz w:val="24"/>
          <w:szCs w:val="24"/>
        </w:rPr>
        <w:t>n</w:t>
      </w:r>
      <w:r>
        <w:rPr>
          <w:sz w:val="24"/>
          <w:szCs w:val="24"/>
        </w:rPr>
        <w:t xml:space="preserve"> diğer ülkelere hızlıca t</w:t>
      </w:r>
      <w:r w:rsidR="006966EE">
        <w:rPr>
          <w:sz w:val="24"/>
          <w:szCs w:val="24"/>
        </w:rPr>
        <w:t>aşınmasına ve küresel kriz algısı ile</w:t>
      </w:r>
      <w:r>
        <w:rPr>
          <w:sz w:val="24"/>
          <w:szCs w:val="24"/>
        </w:rPr>
        <w:t xml:space="preserve"> endişe</w:t>
      </w:r>
      <w:r w:rsidR="006966EE">
        <w:rPr>
          <w:sz w:val="24"/>
          <w:szCs w:val="24"/>
        </w:rPr>
        <w:t xml:space="preserve">lerinin </w:t>
      </w:r>
      <w:r>
        <w:rPr>
          <w:sz w:val="24"/>
          <w:szCs w:val="24"/>
        </w:rPr>
        <w:t>güçlen</w:t>
      </w:r>
      <w:r w:rsidR="006966EE">
        <w:rPr>
          <w:sz w:val="24"/>
          <w:szCs w:val="24"/>
        </w:rPr>
        <w:t>erek</w:t>
      </w:r>
      <w:r>
        <w:rPr>
          <w:sz w:val="24"/>
          <w:szCs w:val="24"/>
        </w:rPr>
        <w:t xml:space="preserve"> küresel bir fobi haline </w:t>
      </w:r>
      <w:r w:rsidR="006966EE">
        <w:rPr>
          <w:sz w:val="24"/>
          <w:szCs w:val="24"/>
        </w:rPr>
        <w:t>gelmesine neden olmuştur.</w:t>
      </w:r>
      <w:r w:rsidR="00B814A9">
        <w:rPr>
          <w:sz w:val="24"/>
          <w:szCs w:val="24"/>
        </w:rPr>
        <w:t xml:space="preserve"> </w:t>
      </w:r>
      <w:r w:rsidR="004922BC">
        <w:rPr>
          <w:sz w:val="24"/>
          <w:szCs w:val="24"/>
        </w:rPr>
        <w:t xml:space="preserve">Bu bağlamda </w:t>
      </w:r>
      <w:r w:rsidR="00B814A9">
        <w:rPr>
          <w:sz w:val="24"/>
          <w:szCs w:val="24"/>
        </w:rPr>
        <w:t>2008 küresel krizi, bu gerçeğin en canlı örne</w:t>
      </w:r>
      <w:r w:rsidR="004922BC">
        <w:rPr>
          <w:sz w:val="24"/>
          <w:szCs w:val="24"/>
        </w:rPr>
        <w:t>ği olarak karşımıza çıkmaktadır.</w:t>
      </w:r>
    </w:p>
    <w:p w:rsidR="004922BC" w:rsidRDefault="004922BC" w:rsidP="00BB2937">
      <w:pPr>
        <w:spacing w:line="240" w:lineRule="auto"/>
        <w:ind w:firstLine="708"/>
        <w:jc w:val="both"/>
        <w:rPr>
          <w:sz w:val="24"/>
          <w:szCs w:val="24"/>
        </w:rPr>
      </w:pPr>
      <w:r>
        <w:rPr>
          <w:sz w:val="24"/>
          <w:szCs w:val="24"/>
        </w:rPr>
        <w:t xml:space="preserve">2008 yılının son çeyreğinde </w:t>
      </w:r>
      <w:r w:rsidR="009E08A1">
        <w:rPr>
          <w:sz w:val="24"/>
          <w:szCs w:val="24"/>
        </w:rPr>
        <w:t>ABD’de</w:t>
      </w:r>
      <w:r>
        <w:rPr>
          <w:sz w:val="24"/>
          <w:szCs w:val="24"/>
        </w:rPr>
        <w:t xml:space="preserve"> mortgage sistemine bağlı olarak ortaya çıkan</w:t>
      </w:r>
      <w:r w:rsidR="00D80EAE">
        <w:rPr>
          <w:sz w:val="24"/>
          <w:szCs w:val="24"/>
        </w:rPr>
        <w:t xml:space="preserve"> finansal</w:t>
      </w:r>
      <w:r>
        <w:rPr>
          <w:sz w:val="24"/>
          <w:szCs w:val="24"/>
        </w:rPr>
        <w:t xml:space="preserve"> kriz beraberinde likidite krizini getirmiş ve kısa zamanda finansal türev ürünlerle tüm dünya çapına yayılarak </w:t>
      </w:r>
      <w:r w:rsidR="00D80EAE">
        <w:rPr>
          <w:sz w:val="24"/>
          <w:szCs w:val="24"/>
        </w:rPr>
        <w:t>bugüne dek yaşanmış</w:t>
      </w:r>
      <w:r>
        <w:rPr>
          <w:sz w:val="24"/>
          <w:szCs w:val="24"/>
        </w:rPr>
        <w:t xml:space="preserve"> en büyük küresel krizlerden biri haline gelmiştir.</w:t>
      </w:r>
      <w:r w:rsidR="009E08A1">
        <w:rPr>
          <w:sz w:val="24"/>
          <w:szCs w:val="24"/>
        </w:rPr>
        <w:t xml:space="preserve"> Krize bir süreç olarak bakıldığında kriz öncesi Amerikan ekonomisinde yaşanan likidite bolluğunun ardından verilen gelişi güzel kredilerle kırılganlaşan mortgage sisteminin; aşırı menkul kıymetleştirmeler, </w:t>
      </w:r>
      <w:proofErr w:type="gramStart"/>
      <w:r w:rsidR="009E08A1">
        <w:rPr>
          <w:sz w:val="24"/>
          <w:szCs w:val="24"/>
        </w:rPr>
        <w:t>regülasyon</w:t>
      </w:r>
      <w:proofErr w:type="gramEnd"/>
      <w:r w:rsidR="009E08A1">
        <w:rPr>
          <w:sz w:val="24"/>
          <w:szCs w:val="24"/>
        </w:rPr>
        <w:t xml:space="preserve"> eksiklikleri, kredi derecelendirme mekanizmasındaki zaaflar </w:t>
      </w:r>
      <w:r w:rsidR="00184C4F">
        <w:rPr>
          <w:sz w:val="24"/>
          <w:szCs w:val="24"/>
        </w:rPr>
        <w:t xml:space="preserve">ve geç kalan devlet müdahaleleri </w:t>
      </w:r>
      <w:r w:rsidR="009E08A1">
        <w:rPr>
          <w:sz w:val="24"/>
          <w:szCs w:val="24"/>
        </w:rPr>
        <w:t>nedeniyle giderek çökme noktasına geldiği</w:t>
      </w:r>
      <w:r w:rsidR="00184C4F">
        <w:rPr>
          <w:sz w:val="24"/>
          <w:szCs w:val="24"/>
        </w:rPr>
        <w:t xml:space="preserve">, </w:t>
      </w:r>
      <w:r w:rsidR="009E08A1">
        <w:rPr>
          <w:sz w:val="24"/>
          <w:szCs w:val="24"/>
        </w:rPr>
        <w:t>neticesinde zorl</w:t>
      </w:r>
      <w:r w:rsidR="00184C4F">
        <w:rPr>
          <w:sz w:val="24"/>
          <w:szCs w:val="24"/>
        </w:rPr>
        <w:t xml:space="preserve">anan ABD ekonomisi ve </w:t>
      </w:r>
      <w:r w:rsidR="009E08A1">
        <w:rPr>
          <w:sz w:val="24"/>
          <w:szCs w:val="24"/>
        </w:rPr>
        <w:t>bu ekonomiy</w:t>
      </w:r>
      <w:r w:rsidR="00D80EAE">
        <w:rPr>
          <w:sz w:val="24"/>
          <w:szCs w:val="24"/>
        </w:rPr>
        <w:t>le yoğun ticari ve finansal bağlılığı bulunan</w:t>
      </w:r>
      <w:r w:rsidR="009E08A1">
        <w:rPr>
          <w:sz w:val="24"/>
          <w:szCs w:val="24"/>
        </w:rPr>
        <w:t xml:space="preserve"> diğer ulus ekonomileriyle büyük bir krize dönüştüğü görülmektedir. </w:t>
      </w:r>
    </w:p>
    <w:p w:rsidR="00397DB5" w:rsidRDefault="00397DB5" w:rsidP="00BB2937">
      <w:pPr>
        <w:spacing w:line="240" w:lineRule="auto"/>
        <w:ind w:firstLine="708"/>
        <w:jc w:val="both"/>
        <w:rPr>
          <w:sz w:val="24"/>
          <w:szCs w:val="24"/>
        </w:rPr>
      </w:pPr>
      <w:r>
        <w:rPr>
          <w:sz w:val="24"/>
          <w:szCs w:val="24"/>
        </w:rPr>
        <w:t>2008 küresel krizinin en önemli etkisi, ülke</w:t>
      </w:r>
      <w:r w:rsidR="00D80EAE">
        <w:rPr>
          <w:sz w:val="24"/>
          <w:szCs w:val="24"/>
        </w:rPr>
        <w:t xml:space="preserve"> yatırımları</w:t>
      </w:r>
      <w:r>
        <w:rPr>
          <w:sz w:val="24"/>
          <w:szCs w:val="24"/>
        </w:rPr>
        <w:t xml:space="preserve"> için çok önemli olan </w:t>
      </w:r>
      <w:r w:rsidR="001023B9">
        <w:rPr>
          <w:sz w:val="24"/>
          <w:szCs w:val="24"/>
        </w:rPr>
        <w:t xml:space="preserve">banka </w:t>
      </w:r>
      <w:r>
        <w:rPr>
          <w:sz w:val="24"/>
          <w:szCs w:val="24"/>
        </w:rPr>
        <w:t>krediler</w:t>
      </w:r>
      <w:r w:rsidR="001023B9">
        <w:rPr>
          <w:sz w:val="24"/>
          <w:szCs w:val="24"/>
        </w:rPr>
        <w:t>in</w:t>
      </w:r>
      <w:r>
        <w:rPr>
          <w:sz w:val="24"/>
          <w:szCs w:val="24"/>
        </w:rPr>
        <w:t xml:space="preserve">e </w:t>
      </w:r>
      <w:r w:rsidR="00D80EAE">
        <w:rPr>
          <w:sz w:val="24"/>
          <w:szCs w:val="24"/>
        </w:rPr>
        <w:t xml:space="preserve">belirsiz bir süre için </w:t>
      </w:r>
      <w:r>
        <w:rPr>
          <w:sz w:val="24"/>
          <w:szCs w:val="24"/>
        </w:rPr>
        <w:t xml:space="preserve">ket </w:t>
      </w:r>
      <w:r w:rsidR="00D80EAE">
        <w:rPr>
          <w:sz w:val="24"/>
          <w:szCs w:val="24"/>
        </w:rPr>
        <w:t>vurmuş olmasıdır.</w:t>
      </w:r>
      <w:r w:rsidR="001023B9">
        <w:rPr>
          <w:sz w:val="24"/>
          <w:szCs w:val="24"/>
        </w:rPr>
        <w:t xml:space="preserve"> Bu süreçte batan birçok finansal kurumun ardından kredi standartlarını yükselten bankalar gün geçtikçe daha</w:t>
      </w:r>
      <w:r w:rsidR="00D80EAE">
        <w:rPr>
          <w:sz w:val="24"/>
          <w:szCs w:val="24"/>
        </w:rPr>
        <w:t xml:space="preserve"> ihtiyatlı </w:t>
      </w:r>
      <w:r w:rsidR="001023B9">
        <w:rPr>
          <w:sz w:val="24"/>
          <w:szCs w:val="24"/>
        </w:rPr>
        <w:t xml:space="preserve">kredi </w:t>
      </w:r>
      <w:r w:rsidR="001023B9">
        <w:rPr>
          <w:sz w:val="24"/>
          <w:szCs w:val="24"/>
        </w:rPr>
        <w:lastRenderedPageBreak/>
        <w:t xml:space="preserve">verir hale gelmiş ve bu nedenle </w:t>
      </w:r>
      <w:r w:rsidR="00BF6502">
        <w:rPr>
          <w:sz w:val="24"/>
          <w:szCs w:val="24"/>
        </w:rPr>
        <w:t xml:space="preserve">başını gelişmiş ekonomilerin çektiği </w:t>
      </w:r>
      <w:r w:rsidR="001023B9">
        <w:rPr>
          <w:sz w:val="24"/>
          <w:szCs w:val="24"/>
        </w:rPr>
        <w:t>uluslararası piyasalarda ciddi bir likidite sıkışıklığı görülmüştür.</w:t>
      </w:r>
      <w:r w:rsidR="00BF6502">
        <w:rPr>
          <w:sz w:val="24"/>
          <w:szCs w:val="24"/>
        </w:rPr>
        <w:t xml:space="preserve"> Söz konusu kriz etkileri sadece gelişmiş ülkeleri değil gelişmekte olan ülkeleri de olumsuz etkileyerek </w:t>
      </w:r>
      <w:r w:rsidR="008C5051">
        <w:rPr>
          <w:sz w:val="24"/>
          <w:szCs w:val="24"/>
        </w:rPr>
        <w:t>özellikle risk algısı değişen uluslararası yatırımcıların bu piyasalara g</w:t>
      </w:r>
      <w:r w:rsidR="00D80EAE">
        <w:rPr>
          <w:sz w:val="24"/>
          <w:szCs w:val="24"/>
        </w:rPr>
        <w:t>irişin</w:t>
      </w:r>
      <w:r w:rsidR="008C5051">
        <w:rPr>
          <w:sz w:val="24"/>
          <w:szCs w:val="24"/>
        </w:rPr>
        <w:t>i engellemiştir. Bu nedenle dış finansman</w:t>
      </w:r>
      <w:r w:rsidR="00D80EAE">
        <w:rPr>
          <w:sz w:val="24"/>
          <w:szCs w:val="24"/>
        </w:rPr>
        <w:t xml:space="preserve"> </w:t>
      </w:r>
      <w:r w:rsidR="00165193">
        <w:rPr>
          <w:sz w:val="24"/>
          <w:szCs w:val="24"/>
        </w:rPr>
        <w:t>kaynağı açısından</w:t>
      </w:r>
      <w:r w:rsidR="008C5051">
        <w:rPr>
          <w:sz w:val="24"/>
          <w:szCs w:val="24"/>
        </w:rPr>
        <w:t xml:space="preserve"> ciddi daralma yaşamaya başlayan gelişmekte olan ülkelerde uluslararası büyük banka ve yatırım grupları fonlarını bu piyasalardan çekerek daha risksiz yatırım alternatiflerine yönel</w:t>
      </w:r>
      <w:r w:rsidR="00841104">
        <w:rPr>
          <w:sz w:val="24"/>
          <w:szCs w:val="24"/>
        </w:rPr>
        <w:t>t</w:t>
      </w:r>
      <w:r w:rsidR="008C5051">
        <w:rPr>
          <w:sz w:val="24"/>
          <w:szCs w:val="24"/>
        </w:rPr>
        <w:t>mişler</w:t>
      </w:r>
      <w:r w:rsidR="00841104">
        <w:rPr>
          <w:sz w:val="24"/>
          <w:szCs w:val="24"/>
        </w:rPr>
        <w:t>dir. Dolayısıyla bu gibi ülkelerde göreli olarak riskli</w:t>
      </w:r>
      <w:r w:rsidR="008C5051">
        <w:rPr>
          <w:sz w:val="24"/>
          <w:szCs w:val="24"/>
        </w:rPr>
        <w:t xml:space="preserve"> </w:t>
      </w:r>
      <w:r w:rsidR="00841104">
        <w:rPr>
          <w:sz w:val="24"/>
          <w:szCs w:val="24"/>
        </w:rPr>
        <w:t>addedilen</w:t>
      </w:r>
      <w:r w:rsidR="008C5051">
        <w:rPr>
          <w:sz w:val="24"/>
          <w:szCs w:val="24"/>
        </w:rPr>
        <w:t xml:space="preserve"> menkul kıymet fiyatları</w:t>
      </w:r>
      <w:r w:rsidR="00CF20D1">
        <w:rPr>
          <w:sz w:val="24"/>
          <w:szCs w:val="24"/>
        </w:rPr>
        <w:t xml:space="preserve"> dip noktalara kadar </w:t>
      </w:r>
      <w:r w:rsidR="00D80EAE">
        <w:rPr>
          <w:sz w:val="24"/>
          <w:szCs w:val="24"/>
        </w:rPr>
        <w:t>daralmış,</w:t>
      </w:r>
      <w:r w:rsidR="00CF20D1">
        <w:rPr>
          <w:sz w:val="24"/>
          <w:szCs w:val="24"/>
        </w:rPr>
        <w:t xml:space="preserve"> kredi hacmi azalmış, azalan yabancı sermaye ile cari açık artışları rekor seviyelere ulaşmıştır.</w:t>
      </w:r>
    </w:p>
    <w:p w:rsidR="00DE15B5" w:rsidRDefault="00DE15B5" w:rsidP="00BB2937">
      <w:pPr>
        <w:spacing w:line="240" w:lineRule="auto"/>
        <w:ind w:firstLine="708"/>
        <w:jc w:val="both"/>
        <w:rPr>
          <w:b/>
          <w:sz w:val="24"/>
          <w:szCs w:val="24"/>
        </w:rPr>
      </w:pPr>
    </w:p>
    <w:p w:rsidR="00DE15B5" w:rsidRPr="00DE15B5" w:rsidRDefault="00DE15B5" w:rsidP="00BB2937">
      <w:pPr>
        <w:spacing w:line="240" w:lineRule="auto"/>
        <w:ind w:firstLine="708"/>
        <w:jc w:val="both"/>
        <w:rPr>
          <w:b/>
          <w:sz w:val="24"/>
          <w:szCs w:val="24"/>
        </w:rPr>
      </w:pPr>
      <w:r w:rsidRPr="00DE15B5">
        <w:rPr>
          <w:b/>
          <w:sz w:val="24"/>
          <w:szCs w:val="24"/>
        </w:rPr>
        <w:t xml:space="preserve">Kriz Sonrası Türkiye’de Finansal Sektör ve Bankacılık </w:t>
      </w:r>
    </w:p>
    <w:p w:rsidR="00DB4AA3" w:rsidRDefault="00DB4AA3" w:rsidP="00BB2937">
      <w:pPr>
        <w:spacing w:line="240" w:lineRule="auto"/>
        <w:ind w:firstLine="708"/>
        <w:jc w:val="both"/>
        <w:rPr>
          <w:sz w:val="24"/>
          <w:szCs w:val="24"/>
        </w:rPr>
      </w:pPr>
      <w:r w:rsidRPr="00DB4AA3">
        <w:rPr>
          <w:sz w:val="24"/>
          <w:szCs w:val="24"/>
        </w:rPr>
        <w:t xml:space="preserve">2008’deki küresel finans krizinden sonra Türkiye ekonomisini oluşturan aktörlerin toplam değeri 972,4 </w:t>
      </w:r>
      <w:proofErr w:type="spellStart"/>
      <w:r w:rsidRPr="00DB4AA3">
        <w:rPr>
          <w:sz w:val="24"/>
          <w:szCs w:val="24"/>
        </w:rPr>
        <w:t>milyan</w:t>
      </w:r>
      <w:proofErr w:type="spellEnd"/>
      <w:r w:rsidRPr="00DB4AA3">
        <w:rPr>
          <w:sz w:val="24"/>
          <w:szCs w:val="24"/>
        </w:rPr>
        <w:t xml:space="preserve"> </w:t>
      </w:r>
      <w:proofErr w:type="spellStart"/>
      <w:r w:rsidRPr="00DB4AA3">
        <w:rPr>
          <w:sz w:val="24"/>
          <w:szCs w:val="24"/>
        </w:rPr>
        <w:t>TL.’den</w:t>
      </w:r>
      <w:proofErr w:type="spellEnd"/>
      <w:r w:rsidRPr="00DB4AA3">
        <w:rPr>
          <w:sz w:val="24"/>
          <w:szCs w:val="24"/>
        </w:rPr>
        <w:t xml:space="preserve"> 2011 Haziran ayı itibariyle 1.483,2 milyar </w:t>
      </w:r>
      <w:proofErr w:type="spellStart"/>
      <w:r w:rsidRPr="00DB4AA3">
        <w:rPr>
          <w:sz w:val="24"/>
          <w:szCs w:val="24"/>
        </w:rPr>
        <w:t>TL.’ye</w:t>
      </w:r>
      <w:proofErr w:type="spellEnd"/>
      <w:r w:rsidRPr="00DB4AA3">
        <w:rPr>
          <w:sz w:val="24"/>
          <w:szCs w:val="24"/>
        </w:rPr>
        <w:t xml:space="preserve"> çıkmış ve geçen bu süre zarfında yaklaşık olarak %52 oranında büyüme göstermiştir. Mali sektör içindeki dağılıma bakıldığında ise bankaların ağırlığı göze çarpmaktadır. Krizden sonraki süreçte ülke ekonomisindeki artan aktif büyüklüğüne bağlı olarak bankacılık sektörün de aynı paralelde geliştiği ancak toplam içindeki payının %75 civarında olup yıldan yıla çok fazla değişim göstermediği görülmektedir.</w:t>
      </w:r>
    </w:p>
    <w:p w:rsidR="00DB4AA3" w:rsidRPr="00DB4AA3" w:rsidRDefault="00DB4AA3" w:rsidP="00BB2937">
      <w:pPr>
        <w:pStyle w:val="NormalWeb"/>
        <w:jc w:val="center"/>
        <w:rPr>
          <w:b/>
          <w:sz w:val="32"/>
        </w:rPr>
      </w:pPr>
      <w:r w:rsidRPr="00616244">
        <w:rPr>
          <w:rFonts w:ascii="Century Gothic" w:hAnsi="Century Gothic"/>
          <w:b/>
          <w:color w:val="000000"/>
          <w:sz w:val="18"/>
          <w:szCs w:val="14"/>
        </w:rPr>
        <w:t xml:space="preserve">Tablo: </w:t>
      </w:r>
      <w:r>
        <w:rPr>
          <w:rFonts w:ascii="Century Gothic" w:hAnsi="Century Gothic"/>
          <w:b/>
          <w:color w:val="000000"/>
          <w:sz w:val="18"/>
          <w:szCs w:val="14"/>
        </w:rPr>
        <w:t>Finansal Sektör Aktif Büyüklükleri</w:t>
      </w:r>
    </w:p>
    <w:p w:rsidR="00DB4AA3" w:rsidRPr="00DB4AA3" w:rsidRDefault="00DB4AA3" w:rsidP="00BB2937">
      <w:pPr>
        <w:spacing w:line="240" w:lineRule="auto"/>
        <w:rPr>
          <w:sz w:val="24"/>
          <w:szCs w:val="24"/>
        </w:rPr>
      </w:pPr>
      <w:r>
        <w:rPr>
          <w:noProof/>
          <w:sz w:val="24"/>
          <w:szCs w:val="24"/>
          <w:lang w:eastAsia="tr-TR"/>
        </w:rPr>
        <w:drawing>
          <wp:inline distT="0" distB="0" distL="0" distR="0" wp14:anchorId="42A3FCCC" wp14:editId="2825FDB8">
            <wp:extent cx="5760720" cy="2040164"/>
            <wp:effectExtent l="19050" t="19050" r="11430" b="1778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2040164"/>
                    </a:xfrm>
                    <a:prstGeom prst="rect">
                      <a:avLst/>
                    </a:prstGeom>
                    <a:noFill/>
                    <a:ln>
                      <a:solidFill>
                        <a:schemeClr val="tx1"/>
                      </a:solidFill>
                    </a:ln>
                  </pic:spPr>
                </pic:pic>
              </a:graphicData>
            </a:graphic>
          </wp:inline>
        </w:drawing>
      </w:r>
      <w:r w:rsidRPr="00616244">
        <w:rPr>
          <w:sz w:val="14"/>
          <w:szCs w:val="24"/>
        </w:rPr>
        <w:t>Kaynak: BDDK</w:t>
      </w:r>
      <w:r w:rsidR="00451E84">
        <w:rPr>
          <w:sz w:val="14"/>
          <w:szCs w:val="24"/>
        </w:rPr>
        <w:t>, TCMB, HM, SPK, TSPAKB</w:t>
      </w:r>
    </w:p>
    <w:p w:rsidR="00165193" w:rsidRDefault="008C1BAE" w:rsidP="00BB2937">
      <w:pPr>
        <w:spacing w:line="240" w:lineRule="auto"/>
        <w:ind w:firstLine="708"/>
        <w:jc w:val="both"/>
        <w:rPr>
          <w:sz w:val="24"/>
          <w:szCs w:val="24"/>
        </w:rPr>
      </w:pPr>
      <w:r w:rsidRPr="00AE3227">
        <w:rPr>
          <w:sz w:val="24"/>
          <w:szCs w:val="24"/>
        </w:rPr>
        <w:t xml:space="preserve">Gerek gelişmiş ülkeler gerekse de gelişmekte olan ekonomiler açısından </w:t>
      </w:r>
      <w:r w:rsidR="00AE3227" w:rsidRPr="00AE3227">
        <w:rPr>
          <w:sz w:val="24"/>
          <w:szCs w:val="24"/>
        </w:rPr>
        <w:t>birçok</w:t>
      </w:r>
      <w:r w:rsidRPr="00AE3227">
        <w:rPr>
          <w:sz w:val="24"/>
          <w:szCs w:val="24"/>
        </w:rPr>
        <w:t xml:space="preserve"> probleme neden olan 2008 küresel finansal kriz sonrasında bu ülkelerin çoğu köklü yeniden yapılandırmalara gitmiş ve bu </w:t>
      </w:r>
      <w:r w:rsidR="00AE3227">
        <w:rPr>
          <w:sz w:val="24"/>
          <w:szCs w:val="24"/>
        </w:rPr>
        <w:t>doğrultuda küresel çapta</w:t>
      </w:r>
      <w:r w:rsidRPr="00AE3227">
        <w:rPr>
          <w:sz w:val="24"/>
          <w:szCs w:val="24"/>
        </w:rPr>
        <w:t xml:space="preserve"> “yeni finansal mimari” tartışmaları </w:t>
      </w:r>
      <w:r w:rsidR="00AE3227">
        <w:rPr>
          <w:sz w:val="24"/>
          <w:szCs w:val="24"/>
        </w:rPr>
        <w:t xml:space="preserve">dünya gündemine yerleşmiştir. Esasen o dönem için dünyanın genelinin yabancı olduğu yeniden yapılandırma kavramı, benzer sıkıntılı süreci yıllar öncesinde yaşamış Türkiye için o kadar da yabancı bir kavram olmamıştır. </w:t>
      </w:r>
      <w:proofErr w:type="gramStart"/>
      <w:r w:rsidR="00AE3227">
        <w:rPr>
          <w:sz w:val="24"/>
          <w:szCs w:val="24"/>
        </w:rPr>
        <w:t xml:space="preserve">Bu </w:t>
      </w:r>
      <w:r w:rsidRPr="00AE3227">
        <w:rPr>
          <w:sz w:val="24"/>
          <w:szCs w:val="24"/>
        </w:rPr>
        <w:t>süre</w:t>
      </w:r>
      <w:r w:rsidR="00AB407B">
        <w:rPr>
          <w:sz w:val="24"/>
          <w:szCs w:val="24"/>
        </w:rPr>
        <w:t>cin başlarında,</w:t>
      </w:r>
      <w:r w:rsidRPr="00AE3227">
        <w:rPr>
          <w:sz w:val="24"/>
          <w:szCs w:val="24"/>
        </w:rPr>
        <w:t xml:space="preserve"> uluslararası finans piyasalarının bir parçası olarak Türkiye’nin de bu krizden en az diğer dünya ekonomileri kadar etkileneceği varsayılmış olsa da benzer kırılganlık dönemini 2000-2001 yıllarında yaşamış ve o </w:t>
      </w:r>
      <w:r w:rsidR="00AE3227">
        <w:rPr>
          <w:sz w:val="24"/>
          <w:szCs w:val="24"/>
        </w:rPr>
        <w:t xml:space="preserve">dönem gerçekleştirdiği </w:t>
      </w:r>
      <w:r w:rsidR="00AB407B">
        <w:rPr>
          <w:sz w:val="24"/>
          <w:szCs w:val="24"/>
        </w:rPr>
        <w:t>reformlarla</w:t>
      </w:r>
      <w:r w:rsidRPr="00AE3227">
        <w:rPr>
          <w:sz w:val="24"/>
          <w:szCs w:val="24"/>
        </w:rPr>
        <w:t xml:space="preserve"> bankacılık sektörünü </w:t>
      </w:r>
      <w:r w:rsidR="00AB407B">
        <w:rPr>
          <w:sz w:val="24"/>
          <w:szCs w:val="24"/>
        </w:rPr>
        <w:t>büyük çapta</w:t>
      </w:r>
      <w:r w:rsidRPr="00AE3227">
        <w:rPr>
          <w:sz w:val="24"/>
          <w:szCs w:val="24"/>
        </w:rPr>
        <w:t xml:space="preserve"> r</w:t>
      </w:r>
      <w:r w:rsidR="00AE3227">
        <w:rPr>
          <w:sz w:val="24"/>
          <w:szCs w:val="24"/>
        </w:rPr>
        <w:t>e</w:t>
      </w:r>
      <w:r w:rsidRPr="00AE3227">
        <w:rPr>
          <w:sz w:val="24"/>
          <w:szCs w:val="24"/>
        </w:rPr>
        <w:t>habilite etmiş olan Türkiye</w:t>
      </w:r>
      <w:r w:rsidR="00AB407B">
        <w:rPr>
          <w:sz w:val="24"/>
          <w:szCs w:val="24"/>
        </w:rPr>
        <w:t xml:space="preserve"> dolayısıyla </w:t>
      </w:r>
      <w:r w:rsidR="00AE3227" w:rsidRPr="00AE3227">
        <w:rPr>
          <w:sz w:val="24"/>
          <w:szCs w:val="24"/>
        </w:rPr>
        <w:t xml:space="preserve">bu sıkıntılı sürece diğer ülkelere kıyasla daha hazırlıklı </w:t>
      </w:r>
      <w:r w:rsidR="00AB407B">
        <w:rPr>
          <w:sz w:val="24"/>
          <w:szCs w:val="24"/>
        </w:rPr>
        <w:t>girmiştir.</w:t>
      </w:r>
      <w:proofErr w:type="gramEnd"/>
    </w:p>
    <w:p w:rsidR="00BB2937" w:rsidRDefault="00BB2937" w:rsidP="00BB2937">
      <w:pPr>
        <w:pStyle w:val="NormalWeb"/>
        <w:jc w:val="center"/>
        <w:rPr>
          <w:rFonts w:ascii="Century Gothic" w:hAnsi="Century Gothic"/>
          <w:b/>
          <w:color w:val="000000"/>
          <w:sz w:val="18"/>
          <w:szCs w:val="14"/>
        </w:rPr>
      </w:pPr>
    </w:p>
    <w:p w:rsidR="00BB2937" w:rsidRDefault="00BB2937" w:rsidP="00BB2937">
      <w:pPr>
        <w:pStyle w:val="NormalWeb"/>
        <w:jc w:val="center"/>
        <w:rPr>
          <w:rFonts w:ascii="Century Gothic" w:hAnsi="Century Gothic"/>
          <w:b/>
          <w:color w:val="000000"/>
          <w:sz w:val="18"/>
          <w:szCs w:val="14"/>
        </w:rPr>
      </w:pPr>
    </w:p>
    <w:p w:rsidR="00616244" w:rsidRPr="00616244" w:rsidRDefault="00616244" w:rsidP="00BB2937">
      <w:pPr>
        <w:pStyle w:val="NormalWeb"/>
        <w:jc w:val="center"/>
        <w:rPr>
          <w:b/>
          <w:sz w:val="32"/>
        </w:rPr>
      </w:pPr>
      <w:r w:rsidRPr="00616244">
        <w:rPr>
          <w:rFonts w:ascii="Century Gothic" w:hAnsi="Century Gothic"/>
          <w:b/>
          <w:color w:val="000000"/>
          <w:sz w:val="18"/>
          <w:szCs w:val="14"/>
        </w:rPr>
        <w:lastRenderedPageBreak/>
        <w:t>Tablo: Bankacılık Sektörü Sağlamlık Göstergeleri</w:t>
      </w:r>
    </w:p>
    <w:p w:rsidR="003D1757" w:rsidRDefault="009B5FA5" w:rsidP="00BB2937">
      <w:pPr>
        <w:spacing w:after="0" w:line="240" w:lineRule="auto"/>
        <w:jc w:val="center"/>
        <w:rPr>
          <w:sz w:val="24"/>
          <w:szCs w:val="24"/>
        </w:rPr>
      </w:pPr>
      <w:r>
        <w:rPr>
          <w:noProof/>
          <w:sz w:val="24"/>
          <w:szCs w:val="24"/>
          <w:lang w:eastAsia="tr-TR"/>
        </w:rPr>
        <w:drawing>
          <wp:inline distT="0" distB="0" distL="0" distR="0" wp14:anchorId="54834CFD" wp14:editId="4C2D7B3F">
            <wp:extent cx="5760720" cy="1630392"/>
            <wp:effectExtent l="19050" t="19050" r="11430" b="2730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1630392"/>
                    </a:xfrm>
                    <a:prstGeom prst="rect">
                      <a:avLst/>
                    </a:prstGeom>
                    <a:noFill/>
                    <a:ln>
                      <a:solidFill>
                        <a:schemeClr val="tx1"/>
                      </a:solidFill>
                    </a:ln>
                  </pic:spPr>
                </pic:pic>
              </a:graphicData>
            </a:graphic>
          </wp:inline>
        </w:drawing>
      </w:r>
    </w:p>
    <w:p w:rsidR="00616244" w:rsidRPr="00616244" w:rsidRDefault="00616244" w:rsidP="00BB2937">
      <w:pPr>
        <w:spacing w:after="0" w:line="240" w:lineRule="auto"/>
        <w:jc w:val="both"/>
        <w:rPr>
          <w:sz w:val="14"/>
          <w:szCs w:val="24"/>
        </w:rPr>
      </w:pPr>
      <w:r w:rsidRPr="00616244">
        <w:rPr>
          <w:sz w:val="14"/>
          <w:szCs w:val="24"/>
        </w:rPr>
        <w:t>Kaynak: BDDK</w:t>
      </w:r>
    </w:p>
    <w:p w:rsidR="00BB2937" w:rsidRDefault="00BB2937" w:rsidP="00BB2937">
      <w:pPr>
        <w:spacing w:line="240" w:lineRule="auto"/>
        <w:ind w:firstLine="708"/>
        <w:jc w:val="both"/>
        <w:rPr>
          <w:sz w:val="24"/>
          <w:szCs w:val="24"/>
        </w:rPr>
      </w:pPr>
    </w:p>
    <w:p w:rsidR="00A65023" w:rsidRDefault="00A65023" w:rsidP="00BB2937">
      <w:pPr>
        <w:spacing w:line="240" w:lineRule="auto"/>
        <w:ind w:firstLine="708"/>
        <w:jc w:val="both"/>
        <w:rPr>
          <w:sz w:val="24"/>
          <w:szCs w:val="24"/>
        </w:rPr>
      </w:pPr>
      <w:r w:rsidRPr="00A65023">
        <w:rPr>
          <w:sz w:val="24"/>
          <w:szCs w:val="24"/>
        </w:rPr>
        <w:t>Bankacılık sektörünün küresel kriz sonrası performansı incelendiğinde 2008-2010 yılları arasında aktif karlılığının arttığı diğer bir ifade ile bu dönem içinde bankaların aktiflerini artan bir karlılık içinde yönettiği görülmektedir. Ancak 2010 yılı başı itibariyle kaynak maliyetlerindeki artışa bağlı olarak bankacılık sektöründeki karlılık oranlarında başlayan azalma devam etmektedir. Bu süreç içinde takipteki alacakların brüt krediler içindeki yıldan yıla azalması dikkat çekicidir. Getirilen yasal zorunluluklarla aktif kalitesini arttıran sektör takipteki alacak tutarını 2011 yılında en aza indirerek rakipleri arasında fark edilir bir başarıya imza atmıştır. Likiditeye bakıldığında ise giderek azalan bir trende rağmen halen yeterli bir likiditeden söz edilebilmektedir. Aynı şekilde 2008 yılında itibaren dönen varlıkların kısa vadeli borçla finanse edilmesi giderek azalmış bu durumda sektörün mali gücünü arttırmıştır. Kur riski ile ilişkilendirilen yabancı para açık pozisyonu/</w:t>
      </w:r>
      <w:proofErr w:type="spellStart"/>
      <w:r w:rsidRPr="00A65023">
        <w:rPr>
          <w:sz w:val="24"/>
          <w:szCs w:val="24"/>
        </w:rPr>
        <w:t>özkaynak</w:t>
      </w:r>
      <w:proofErr w:type="spellEnd"/>
      <w:r w:rsidRPr="00A65023">
        <w:rPr>
          <w:sz w:val="24"/>
          <w:szCs w:val="24"/>
        </w:rPr>
        <w:t xml:space="preserve"> oranı ise asgari limitlerdeki güvenilir seyrine devam etmektedir.</w:t>
      </w:r>
    </w:p>
    <w:p w:rsidR="00607CA5" w:rsidRPr="00607CA5" w:rsidRDefault="00607CA5" w:rsidP="00BB2937">
      <w:pPr>
        <w:pStyle w:val="NormalWeb"/>
        <w:jc w:val="center"/>
        <w:rPr>
          <w:b/>
          <w:sz w:val="32"/>
        </w:rPr>
      </w:pPr>
      <w:r w:rsidRPr="00616244">
        <w:rPr>
          <w:rFonts w:ascii="Century Gothic" w:hAnsi="Century Gothic"/>
          <w:b/>
          <w:color w:val="000000"/>
          <w:sz w:val="18"/>
          <w:szCs w:val="14"/>
        </w:rPr>
        <w:t xml:space="preserve">Tablo: Bankacılık Sektörü </w:t>
      </w:r>
      <w:r>
        <w:rPr>
          <w:rFonts w:ascii="Century Gothic" w:hAnsi="Century Gothic"/>
          <w:b/>
          <w:color w:val="000000"/>
          <w:sz w:val="18"/>
          <w:szCs w:val="14"/>
        </w:rPr>
        <w:t>Özet Bilanço Büyüklükleri</w:t>
      </w:r>
    </w:p>
    <w:p w:rsidR="009B5FA5" w:rsidRDefault="009B5FA5" w:rsidP="00BB2937">
      <w:pPr>
        <w:spacing w:line="240" w:lineRule="auto"/>
        <w:jc w:val="both"/>
        <w:rPr>
          <w:sz w:val="14"/>
          <w:szCs w:val="24"/>
        </w:rPr>
      </w:pPr>
      <w:r>
        <w:rPr>
          <w:noProof/>
          <w:sz w:val="24"/>
          <w:szCs w:val="24"/>
          <w:lang w:eastAsia="tr-TR"/>
        </w:rPr>
        <w:drawing>
          <wp:inline distT="0" distB="0" distL="0" distR="0" wp14:anchorId="07DE0AF7" wp14:editId="6C57487F">
            <wp:extent cx="5760720" cy="2665606"/>
            <wp:effectExtent l="19050" t="19050" r="11430" b="2095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665606"/>
                    </a:xfrm>
                    <a:prstGeom prst="rect">
                      <a:avLst/>
                    </a:prstGeom>
                    <a:noFill/>
                    <a:ln>
                      <a:solidFill>
                        <a:schemeClr val="tx1"/>
                      </a:solidFill>
                    </a:ln>
                  </pic:spPr>
                </pic:pic>
              </a:graphicData>
            </a:graphic>
          </wp:inline>
        </w:drawing>
      </w:r>
      <w:r w:rsidRPr="00616244">
        <w:rPr>
          <w:sz w:val="14"/>
          <w:szCs w:val="24"/>
        </w:rPr>
        <w:t>Kaynak: BDDK</w:t>
      </w:r>
    </w:p>
    <w:p w:rsidR="00F70CAD" w:rsidRPr="00F70CAD" w:rsidRDefault="00A65023" w:rsidP="00BB2937">
      <w:pPr>
        <w:spacing w:line="240" w:lineRule="auto"/>
        <w:ind w:firstLine="708"/>
        <w:jc w:val="both"/>
        <w:rPr>
          <w:sz w:val="24"/>
          <w:szCs w:val="24"/>
        </w:rPr>
      </w:pPr>
      <w:r w:rsidRPr="00A65023">
        <w:rPr>
          <w:sz w:val="24"/>
          <w:szCs w:val="24"/>
        </w:rPr>
        <w:t xml:space="preserve">Bankacılık sektörünün toplam aktif ve pasifleri incelendiğinde 2008 yılı sonrası bilanço büyüklüğünün 732,5 milyar </w:t>
      </w:r>
      <w:proofErr w:type="spellStart"/>
      <w:r w:rsidRPr="00A65023">
        <w:rPr>
          <w:sz w:val="24"/>
          <w:szCs w:val="24"/>
        </w:rPr>
        <w:t>TL.’den</w:t>
      </w:r>
      <w:proofErr w:type="spellEnd"/>
      <w:r w:rsidRPr="00A65023">
        <w:rPr>
          <w:sz w:val="24"/>
          <w:szCs w:val="24"/>
        </w:rPr>
        <w:t xml:space="preserve"> 1146,1 milyar </w:t>
      </w:r>
      <w:proofErr w:type="spellStart"/>
      <w:r w:rsidRPr="00A65023">
        <w:rPr>
          <w:sz w:val="24"/>
          <w:szCs w:val="24"/>
        </w:rPr>
        <w:t>TL.’ye</w:t>
      </w:r>
      <w:proofErr w:type="spellEnd"/>
      <w:r w:rsidRPr="00A65023">
        <w:rPr>
          <w:sz w:val="24"/>
          <w:szCs w:val="24"/>
        </w:rPr>
        <w:t xml:space="preserve"> yükseldiği görülmektedir. Toplam aktifler içinde kredilerin yoğunluğu %54,1 ile dikkat çekicidir. 2008 yılında %50 civarında olan bu oranın yıllar boyunca benzer seyrini koruduğu ve önümüzdeki dönemde de bu seviyelere yaklaşacağı öngörülmektedir. Bilançonun aktif kısmındaki ikinci büyük kalemi olan menkul </w:t>
      </w:r>
      <w:r w:rsidRPr="00A65023">
        <w:rPr>
          <w:sz w:val="24"/>
          <w:szCs w:val="24"/>
        </w:rPr>
        <w:lastRenderedPageBreak/>
        <w:t xml:space="preserve">kıymetlerde ise son yıl itibariyle ciddi bir azalış yaşandığı görülmektedir. Buna göre 2010 yılı Haziranında %30,6 oranında gerçekleşen menkul kıymet/toplam aktifler oranı, 2011 yılının aynı döneminde %24,4 seviyesine inerek menkul kıymet satışlarındaki ciddi artışı gözler önüne sermiştir. Ancak yine de 2008 yılı ile kıyaslandığında bu seviye yaklaşık olarak 2 katına karşılık gelecek bir yükselmeyi işaret etmektedir. Diğer bir ifade ile küresel kriz sonrası bankaların riski düşük menkul kıymet yatırımları %100 artmıştır. Bilançonun pasif tarafı irdelendiğinde ise mevduatın ilk sırada geldiği görülmektedir. Bir önceki yıla göre %4,62lık bir azalış gösteren mevduat toplamı, 2008 yılı sonrası %62 seviyelerindeki seyrini %57,5 seviyelerine indirmiştir. </w:t>
      </w:r>
    </w:p>
    <w:p w:rsidR="00F70CAD" w:rsidRPr="00F70CAD" w:rsidRDefault="00895EE0" w:rsidP="00BB2937">
      <w:pPr>
        <w:pStyle w:val="NormalWeb"/>
        <w:jc w:val="center"/>
        <w:rPr>
          <w:rFonts w:ascii="Century Gothic" w:hAnsi="Century Gothic"/>
          <w:b/>
          <w:color w:val="000000"/>
          <w:sz w:val="18"/>
          <w:szCs w:val="14"/>
        </w:rPr>
      </w:pPr>
      <w:r w:rsidRPr="00616244">
        <w:rPr>
          <w:rFonts w:ascii="Century Gothic" w:hAnsi="Century Gothic"/>
          <w:b/>
          <w:color w:val="000000"/>
          <w:sz w:val="18"/>
          <w:szCs w:val="14"/>
        </w:rPr>
        <w:t xml:space="preserve">Tablo: </w:t>
      </w:r>
      <w:r>
        <w:rPr>
          <w:rFonts w:ascii="Century Gothic" w:hAnsi="Century Gothic"/>
          <w:b/>
          <w:color w:val="000000"/>
          <w:sz w:val="18"/>
          <w:szCs w:val="14"/>
        </w:rPr>
        <w:t>Bireysel ve Ticari Kredilerin Gelişimi</w:t>
      </w:r>
    </w:p>
    <w:p w:rsidR="009B5FA5" w:rsidRDefault="00895EE0" w:rsidP="00BB2937">
      <w:pPr>
        <w:spacing w:after="0" w:line="240" w:lineRule="auto"/>
        <w:jc w:val="both"/>
        <w:rPr>
          <w:sz w:val="24"/>
          <w:szCs w:val="24"/>
        </w:rPr>
      </w:pPr>
      <w:r>
        <w:rPr>
          <w:noProof/>
          <w:sz w:val="24"/>
          <w:szCs w:val="24"/>
          <w:lang w:eastAsia="tr-TR"/>
        </w:rPr>
        <w:drawing>
          <wp:inline distT="0" distB="0" distL="0" distR="0" wp14:anchorId="6B8514C3" wp14:editId="6B7A7AF1">
            <wp:extent cx="5760720" cy="765198"/>
            <wp:effectExtent l="19050" t="19050" r="11430" b="158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765198"/>
                    </a:xfrm>
                    <a:prstGeom prst="rect">
                      <a:avLst/>
                    </a:prstGeom>
                    <a:noFill/>
                    <a:ln>
                      <a:solidFill>
                        <a:schemeClr val="tx1"/>
                      </a:solidFill>
                    </a:ln>
                  </pic:spPr>
                </pic:pic>
              </a:graphicData>
            </a:graphic>
          </wp:inline>
        </w:drawing>
      </w:r>
    </w:p>
    <w:p w:rsidR="00C534E8" w:rsidRPr="00C534E8" w:rsidRDefault="00895EE0" w:rsidP="00BB2937">
      <w:pPr>
        <w:spacing w:after="0" w:line="240" w:lineRule="auto"/>
        <w:jc w:val="both"/>
        <w:rPr>
          <w:sz w:val="24"/>
          <w:szCs w:val="24"/>
        </w:rPr>
      </w:pPr>
      <w:r w:rsidRPr="00616244">
        <w:rPr>
          <w:sz w:val="14"/>
          <w:szCs w:val="24"/>
        </w:rPr>
        <w:t>Kaynak: BDDK</w:t>
      </w:r>
    </w:p>
    <w:p w:rsidR="00BB2937" w:rsidRPr="00F70CAD" w:rsidRDefault="00BB2937" w:rsidP="00BB2937">
      <w:pPr>
        <w:spacing w:line="240" w:lineRule="auto"/>
        <w:ind w:firstLine="708"/>
        <w:jc w:val="both"/>
        <w:rPr>
          <w:sz w:val="24"/>
          <w:szCs w:val="24"/>
        </w:rPr>
      </w:pPr>
      <w:r w:rsidRPr="00A65023">
        <w:rPr>
          <w:sz w:val="24"/>
          <w:szCs w:val="24"/>
        </w:rPr>
        <w:t xml:space="preserve">Krediler içinde yer alan bireysel kredi ve ticari kredi dağılımına bakıldığında %66,5 ticari kredi ağırlığı görülmektedir. Bireysel krediler bir önceki yıla göre %19,2 artmış, ticari krediler ise %18,9’luk bir gelişim göstermiştir. Böylece hem bireysel krediler hem de ticari krediler 2008 yılı sonrasındaki gelişimlerine 2011 yılında da devam etmişlerdir. Toplam aktifler içinde ikinci sırada gelen diğer “bankalara borçlar” ve dördüncü sırada gelen “repo işlemlerinden sağlana fonlar” kalemlerinin toplam içerisindeki ağırlıkları artmıştır. Dolayısıyla pasif tarafındaki kaynak çeşitliliği pozitif olarak etkilenmiş ve bu durum da bankacılık sektöründeki finansman riskini azaltan bir yarar sağlamıştır. 2008 yılı sonrasında bir diğer önemli kalem (ikinci sırada) olan öz kaynaklardaki %13 ortalamasındaki seviye 2011 yılı itibariyle %12’ye gerilemiştir. Son olarak pasif kalemlerin TL/Yabancı dengesine bakıldığında toplam bilanço büyüklüğünün %68,1 oranında TL ile %31,9 oranında ise yabancı para ile finanse edildiği görülmektedir. </w:t>
      </w:r>
    </w:p>
    <w:p w:rsidR="000D6E03" w:rsidRPr="00C534E8" w:rsidRDefault="000D6E03" w:rsidP="00BB2937">
      <w:pPr>
        <w:pStyle w:val="NormalWeb"/>
        <w:jc w:val="center"/>
        <w:rPr>
          <w:b/>
          <w:sz w:val="32"/>
        </w:rPr>
      </w:pPr>
      <w:r w:rsidRPr="00616244">
        <w:rPr>
          <w:rFonts w:ascii="Century Gothic" w:hAnsi="Century Gothic"/>
          <w:b/>
          <w:color w:val="000000"/>
          <w:sz w:val="18"/>
          <w:szCs w:val="14"/>
        </w:rPr>
        <w:t xml:space="preserve">Tablo: </w:t>
      </w:r>
      <w:r w:rsidR="00614327">
        <w:rPr>
          <w:rFonts w:ascii="Century Gothic" w:hAnsi="Century Gothic"/>
          <w:b/>
          <w:color w:val="000000"/>
          <w:sz w:val="18"/>
          <w:szCs w:val="14"/>
        </w:rPr>
        <w:t>Kaldıraç Oranları</w:t>
      </w:r>
    </w:p>
    <w:p w:rsidR="000D6E03" w:rsidRPr="00C534E8" w:rsidRDefault="00614327" w:rsidP="00BB2937">
      <w:pPr>
        <w:spacing w:after="0" w:line="240" w:lineRule="auto"/>
        <w:jc w:val="both"/>
        <w:rPr>
          <w:sz w:val="24"/>
          <w:szCs w:val="24"/>
        </w:rPr>
      </w:pPr>
      <w:r>
        <w:rPr>
          <w:noProof/>
          <w:sz w:val="14"/>
          <w:szCs w:val="24"/>
          <w:lang w:eastAsia="tr-TR"/>
        </w:rPr>
        <w:drawing>
          <wp:inline distT="0" distB="0" distL="0" distR="0" wp14:anchorId="54CB645D" wp14:editId="19D62485">
            <wp:extent cx="5760720" cy="960851"/>
            <wp:effectExtent l="19050" t="19050" r="11430" b="10795"/>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960851"/>
                    </a:xfrm>
                    <a:prstGeom prst="rect">
                      <a:avLst/>
                    </a:prstGeom>
                    <a:noFill/>
                    <a:ln>
                      <a:solidFill>
                        <a:schemeClr val="tx1"/>
                      </a:solidFill>
                    </a:ln>
                  </pic:spPr>
                </pic:pic>
              </a:graphicData>
            </a:graphic>
          </wp:inline>
        </w:drawing>
      </w:r>
      <w:r w:rsidR="000D6E03" w:rsidRPr="00616244">
        <w:rPr>
          <w:sz w:val="14"/>
          <w:szCs w:val="24"/>
        </w:rPr>
        <w:t>Kaynak: BDDK</w:t>
      </w:r>
    </w:p>
    <w:p w:rsidR="006A5CA7" w:rsidRPr="006A5CA7" w:rsidRDefault="006A5CA7" w:rsidP="00BB2937">
      <w:pPr>
        <w:spacing w:line="240" w:lineRule="auto"/>
        <w:ind w:firstLine="708"/>
        <w:jc w:val="both"/>
        <w:rPr>
          <w:sz w:val="24"/>
          <w:szCs w:val="24"/>
        </w:rPr>
      </w:pPr>
      <w:r w:rsidRPr="006A5CA7">
        <w:rPr>
          <w:sz w:val="24"/>
          <w:szCs w:val="24"/>
        </w:rPr>
        <w:t xml:space="preserve">Sektörün kaldıraç oranları incelendiğinde 2008 yılından itibaren yabancı kaynakların toplam aktifler içindeki oranının %88-90 aralığında değiştiği görülmektedir. Son yıl itibariyle %87,9 olarak gerçekleşen bu oran sektör içinde yabancı kaynaklara ne derece çok bağımlı olunduğunu göstermesi açısından önem arz etmektedir. Buna karşılık </w:t>
      </w:r>
      <w:proofErr w:type="spellStart"/>
      <w:r w:rsidRPr="006A5CA7">
        <w:rPr>
          <w:sz w:val="24"/>
          <w:szCs w:val="24"/>
        </w:rPr>
        <w:t>özkaynak</w:t>
      </w:r>
      <w:proofErr w:type="spellEnd"/>
      <w:r w:rsidRPr="006A5CA7">
        <w:rPr>
          <w:sz w:val="24"/>
          <w:szCs w:val="24"/>
        </w:rPr>
        <w:t xml:space="preserve"> oranının ise oldukça aşağılarda kalması küresel kriz sonrası sektörün finansman tarafında riskini yükselten ciddi bir faktör olarak göze çarpmaktadır. Bu süreçte kısa vadeli mevduat oranındaki azalma ve oto finansman oranındaki yükselmeler olumlu gelişmeler olarak ifade edilebilmektedir. Özellikle oto finansman oranındaki olumlu seyir, potansiyel </w:t>
      </w:r>
      <w:proofErr w:type="spellStart"/>
      <w:r w:rsidRPr="006A5CA7">
        <w:rPr>
          <w:sz w:val="24"/>
          <w:szCs w:val="24"/>
        </w:rPr>
        <w:t>volatil</w:t>
      </w:r>
      <w:proofErr w:type="spellEnd"/>
      <w:r w:rsidRPr="006A5CA7">
        <w:rPr>
          <w:sz w:val="24"/>
          <w:szCs w:val="24"/>
        </w:rPr>
        <w:t xml:space="preserve"> dönemlerde mevcut yapıyı koruyucu nitelikte bir esneklik avantajını sektöre sunmaktadır.</w:t>
      </w:r>
    </w:p>
    <w:p w:rsidR="000D6E03" w:rsidRDefault="000D6E03" w:rsidP="00BB2937">
      <w:pPr>
        <w:spacing w:line="240" w:lineRule="auto"/>
        <w:jc w:val="both"/>
        <w:rPr>
          <w:sz w:val="24"/>
          <w:szCs w:val="24"/>
        </w:rPr>
      </w:pPr>
    </w:p>
    <w:p w:rsidR="00A12627" w:rsidRPr="006C1E4E" w:rsidRDefault="006C1E4E" w:rsidP="00BB2937">
      <w:pPr>
        <w:pStyle w:val="NormalWeb"/>
        <w:jc w:val="center"/>
        <w:rPr>
          <w:b/>
          <w:sz w:val="32"/>
        </w:rPr>
      </w:pPr>
      <w:r w:rsidRPr="00616244">
        <w:rPr>
          <w:rFonts w:ascii="Century Gothic" w:hAnsi="Century Gothic"/>
          <w:b/>
          <w:color w:val="000000"/>
          <w:sz w:val="18"/>
          <w:szCs w:val="14"/>
        </w:rPr>
        <w:lastRenderedPageBreak/>
        <w:t xml:space="preserve">Tablo: </w:t>
      </w:r>
      <w:r>
        <w:rPr>
          <w:rFonts w:ascii="Century Gothic" w:hAnsi="Century Gothic"/>
          <w:b/>
          <w:color w:val="000000"/>
          <w:sz w:val="18"/>
          <w:szCs w:val="14"/>
        </w:rPr>
        <w:t>Takibe Dönüşüm Oranları</w:t>
      </w:r>
    </w:p>
    <w:p w:rsidR="003A6D45" w:rsidRPr="003A6D45" w:rsidRDefault="003A6D45" w:rsidP="00BB2937">
      <w:pPr>
        <w:pStyle w:val="NormalWeb"/>
        <w:rPr>
          <w:rFonts w:ascii="Century Gothic" w:hAnsi="Century Gothic"/>
          <w:b/>
          <w:color w:val="000000"/>
          <w:sz w:val="18"/>
          <w:szCs w:val="14"/>
        </w:rPr>
      </w:pPr>
      <w:r>
        <w:rPr>
          <w:rFonts w:ascii="Century Gothic" w:hAnsi="Century Gothic"/>
          <w:b/>
          <w:noProof/>
          <w:color w:val="000000"/>
          <w:sz w:val="18"/>
          <w:szCs w:val="14"/>
        </w:rPr>
        <w:drawing>
          <wp:inline distT="0" distB="0" distL="0" distR="0" wp14:anchorId="4743C8E6" wp14:editId="0E7EFD71">
            <wp:extent cx="5760720" cy="6214082"/>
            <wp:effectExtent l="19050" t="19050" r="11430" b="158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6214082"/>
                    </a:xfrm>
                    <a:prstGeom prst="rect">
                      <a:avLst/>
                    </a:prstGeom>
                    <a:noFill/>
                    <a:ln>
                      <a:solidFill>
                        <a:schemeClr val="tx1"/>
                      </a:solidFill>
                    </a:ln>
                  </pic:spPr>
                </pic:pic>
              </a:graphicData>
            </a:graphic>
          </wp:inline>
        </w:drawing>
      </w:r>
      <w:r w:rsidRPr="003A6D45">
        <w:rPr>
          <w:rFonts w:asciiTheme="minorHAnsi" w:eastAsiaTheme="minorHAnsi" w:hAnsiTheme="minorHAnsi" w:cstheme="minorBidi"/>
          <w:sz w:val="14"/>
          <w:lang w:eastAsia="en-US"/>
        </w:rPr>
        <w:t>Kaynak:</w:t>
      </w:r>
      <w:r w:rsidR="006C1E4E">
        <w:rPr>
          <w:rFonts w:asciiTheme="minorHAnsi" w:eastAsiaTheme="minorHAnsi" w:hAnsiTheme="minorHAnsi" w:cstheme="minorBidi"/>
          <w:sz w:val="14"/>
          <w:lang w:eastAsia="en-US"/>
        </w:rPr>
        <w:t xml:space="preserve"> </w:t>
      </w:r>
      <w:hyperlink r:id="rId12" w:history="1">
        <w:r w:rsidR="006C1E4E" w:rsidRPr="00C20012">
          <w:rPr>
            <w:rStyle w:val="Kpr"/>
            <w:rFonts w:asciiTheme="minorHAnsi" w:eastAsiaTheme="minorHAnsi" w:hAnsiTheme="minorHAnsi" w:cstheme="minorBidi"/>
            <w:sz w:val="14"/>
            <w:lang w:eastAsia="en-US"/>
          </w:rPr>
          <w:t>http://fsi.imf.org/</w:t>
        </w:r>
      </w:hyperlink>
      <w:r w:rsidR="006C1E4E">
        <w:rPr>
          <w:rFonts w:asciiTheme="minorHAnsi" w:eastAsiaTheme="minorHAnsi" w:hAnsiTheme="minorHAnsi" w:cstheme="minorBidi"/>
          <w:sz w:val="14"/>
          <w:lang w:eastAsia="en-US"/>
        </w:rPr>
        <w:t>, BDDK.</w:t>
      </w:r>
    </w:p>
    <w:p w:rsidR="003A6D45" w:rsidRPr="00E80F67" w:rsidRDefault="003A6D45" w:rsidP="00BB2937">
      <w:pPr>
        <w:spacing w:line="240" w:lineRule="auto"/>
        <w:ind w:firstLine="708"/>
        <w:jc w:val="both"/>
        <w:rPr>
          <w:sz w:val="24"/>
          <w:szCs w:val="24"/>
        </w:rPr>
      </w:pPr>
      <w:r w:rsidRPr="003A6D45">
        <w:rPr>
          <w:sz w:val="24"/>
          <w:szCs w:val="24"/>
        </w:rPr>
        <w:t xml:space="preserve">Bir çok finansal kuruluşun batışına neden olan 2008 küresel finans krizi, bankacılık sektörü üzerinde kredi riski açısından ciddi sıkıntılar yaratmıştır. Kredi riskinin en önemli göstergelerinden olan “takibe dönüşüm oranı”, bu süreçte birkaç örnek ülke haricinde genel olarak yükselen bir trende sahip olmuştur. 2010 yılı ile sona eren bu trendde bütün ülkelerdeki gelişim farklı olarak değerlendirilmelidir. Diğer bir ifade ile bu gibi göstergeler her ülkenin kendi şartları içinde değerlendirilmesi gereken göstergelerdir. Söz gelimi muhasebe, vergi-denetim gibi çeşitli hususlarda ülkeler arası ortaya çıkan bir takım farklılıklar, bu göstergelerin yorumlanmasını da farklılaştırmaktadır. Bu yapısal farklılık bir tarafa konduğunda tüm ülkelerin geneli için takibe düşmüş alacak oranının düşüyor olması ve alacak kalitesinin artıyor olması olumlu bir olgu olarak kabul edilmektedir. Aşağıdaki tablo bu </w:t>
      </w:r>
      <w:r w:rsidRPr="003A6D45">
        <w:rPr>
          <w:sz w:val="24"/>
          <w:szCs w:val="24"/>
        </w:rPr>
        <w:lastRenderedPageBreak/>
        <w:t xml:space="preserve">açıdan irdelendiğinde Türkiye açısından aktif kalitesinin arttırılmasının gerekliliği ortaya çıkmaktadır. </w:t>
      </w:r>
    </w:p>
    <w:p w:rsidR="00DF130A" w:rsidRPr="00DF130A" w:rsidRDefault="00E16BB9" w:rsidP="00BB2937">
      <w:pPr>
        <w:pStyle w:val="NormalWeb"/>
        <w:jc w:val="center"/>
        <w:rPr>
          <w:rFonts w:ascii="Century Gothic" w:hAnsi="Century Gothic"/>
          <w:b/>
          <w:color w:val="000000"/>
          <w:sz w:val="18"/>
          <w:szCs w:val="14"/>
        </w:rPr>
      </w:pPr>
      <w:r>
        <w:rPr>
          <w:rFonts w:ascii="Century Gothic" w:hAnsi="Century Gothic"/>
          <w:b/>
          <w:color w:val="000000"/>
          <w:sz w:val="18"/>
          <w:szCs w:val="14"/>
        </w:rPr>
        <w:t>Tablo</w:t>
      </w:r>
      <w:r w:rsidR="00CA4F83" w:rsidRPr="00616244">
        <w:rPr>
          <w:rFonts w:ascii="Century Gothic" w:hAnsi="Century Gothic"/>
          <w:b/>
          <w:color w:val="000000"/>
          <w:sz w:val="18"/>
          <w:szCs w:val="14"/>
        </w:rPr>
        <w:t xml:space="preserve">: </w:t>
      </w:r>
      <w:r>
        <w:rPr>
          <w:rFonts w:ascii="Century Gothic" w:hAnsi="Century Gothic"/>
          <w:b/>
          <w:color w:val="000000"/>
          <w:sz w:val="18"/>
          <w:szCs w:val="14"/>
        </w:rPr>
        <w:t xml:space="preserve">Türkiye ve Diğer Seçilmiş Ülkelerde Sermaye Yeterlilik </w:t>
      </w:r>
      <w:proofErr w:type="spellStart"/>
      <w:r>
        <w:rPr>
          <w:rFonts w:ascii="Century Gothic" w:hAnsi="Century Gothic"/>
          <w:b/>
          <w:color w:val="000000"/>
          <w:sz w:val="18"/>
          <w:szCs w:val="14"/>
        </w:rPr>
        <w:t>Rasyosu</w:t>
      </w:r>
      <w:proofErr w:type="spellEnd"/>
    </w:p>
    <w:p w:rsidR="00E16BB9" w:rsidRDefault="00E16BB9" w:rsidP="00BB2937">
      <w:pPr>
        <w:spacing w:after="0" w:line="240" w:lineRule="auto"/>
        <w:jc w:val="center"/>
        <w:rPr>
          <w:sz w:val="14"/>
          <w:szCs w:val="24"/>
        </w:rPr>
      </w:pPr>
      <w:r>
        <w:rPr>
          <w:noProof/>
          <w:sz w:val="14"/>
          <w:szCs w:val="24"/>
          <w:lang w:eastAsia="tr-TR"/>
        </w:rPr>
        <w:drawing>
          <wp:inline distT="0" distB="0" distL="0" distR="0" wp14:anchorId="38CDA261" wp14:editId="43DB4445">
            <wp:extent cx="3476442" cy="5626100"/>
            <wp:effectExtent l="19050" t="19050" r="10160" b="1270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80016" cy="5631884"/>
                    </a:xfrm>
                    <a:prstGeom prst="rect">
                      <a:avLst/>
                    </a:prstGeom>
                    <a:noFill/>
                    <a:ln>
                      <a:solidFill>
                        <a:schemeClr val="tx1"/>
                      </a:solidFill>
                    </a:ln>
                  </pic:spPr>
                </pic:pic>
              </a:graphicData>
            </a:graphic>
          </wp:inline>
        </w:drawing>
      </w:r>
    </w:p>
    <w:p w:rsidR="00CA4F83" w:rsidRPr="00C534E8" w:rsidRDefault="003A7123" w:rsidP="00BB2937">
      <w:pPr>
        <w:spacing w:after="0" w:line="240" w:lineRule="auto"/>
        <w:ind w:left="1416"/>
        <w:rPr>
          <w:sz w:val="24"/>
          <w:szCs w:val="24"/>
        </w:rPr>
      </w:pPr>
      <w:r>
        <w:rPr>
          <w:sz w:val="14"/>
          <w:szCs w:val="24"/>
        </w:rPr>
        <w:t xml:space="preserve">          </w:t>
      </w:r>
      <w:r w:rsidR="00CA4F83" w:rsidRPr="00616244">
        <w:rPr>
          <w:sz w:val="14"/>
          <w:szCs w:val="24"/>
        </w:rPr>
        <w:t xml:space="preserve">Kaynak: </w:t>
      </w:r>
      <w:r w:rsidR="00E16BB9">
        <w:rPr>
          <w:sz w:val="14"/>
          <w:szCs w:val="24"/>
        </w:rPr>
        <w:t xml:space="preserve">SYR IMF Global Financial Stability Report, Ekim 2010, IMF SFI </w:t>
      </w:r>
      <w:proofErr w:type="spellStart"/>
      <w:r w:rsidR="00E16BB9">
        <w:rPr>
          <w:sz w:val="14"/>
          <w:szCs w:val="24"/>
        </w:rPr>
        <w:t>Veritabanı</w:t>
      </w:r>
      <w:proofErr w:type="spellEnd"/>
    </w:p>
    <w:p w:rsidR="00BB2937" w:rsidRDefault="00BB2937" w:rsidP="00BB2937">
      <w:pPr>
        <w:spacing w:line="240" w:lineRule="auto"/>
        <w:ind w:firstLine="708"/>
        <w:jc w:val="both"/>
        <w:rPr>
          <w:sz w:val="24"/>
          <w:szCs w:val="24"/>
        </w:rPr>
      </w:pPr>
    </w:p>
    <w:p w:rsidR="003C471A" w:rsidRDefault="00A12627" w:rsidP="00BB2937">
      <w:pPr>
        <w:spacing w:line="240" w:lineRule="auto"/>
        <w:ind w:firstLine="708"/>
        <w:jc w:val="both"/>
        <w:rPr>
          <w:sz w:val="24"/>
          <w:szCs w:val="24"/>
        </w:rPr>
      </w:pPr>
      <w:r w:rsidRPr="00A12627">
        <w:rPr>
          <w:sz w:val="24"/>
          <w:szCs w:val="24"/>
        </w:rPr>
        <w:t xml:space="preserve">Küresel kriz sonrasında ülkelerin sermaye yeterlilik </w:t>
      </w:r>
      <w:proofErr w:type="spellStart"/>
      <w:r w:rsidRPr="00A12627">
        <w:rPr>
          <w:sz w:val="24"/>
          <w:szCs w:val="24"/>
        </w:rPr>
        <w:t>rasyoları</w:t>
      </w:r>
      <w:proofErr w:type="spellEnd"/>
      <w:r w:rsidRPr="00A12627">
        <w:rPr>
          <w:sz w:val="24"/>
          <w:szCs w:val="24"/>
        </w:rPr>
        <w:t xml:space="preserve"> incelendiğinde; Yunanistan, Portekiz ve Norveç gibi ülkelerde %8 baraj değerinin test edildiği, Fransa, İtalya ve İsveç gibi gelişmiş ülkelerde ise söz konusu oranının düşük seyrini devam ettirdiği görülmüştür. Aynı dönemde sermaye yeterlilik </w:t>
      </w:r>
      <w:proofErr w:type="spellStart"/>
      <w:r w:rsidRPr="00A12627">
        <w:rPr>
          <w:sz w:val="24"/>
          <w:szCs w:val="24"/>
        </w:rPr>
        <w:t>rasyosu</w:t>
      </w:r>
      <w:proofErr w:type="spellEnd"/>
      <w:r w:rsidRPr="00A12627">
        <w:rPr>
          <w:sz w:val="24"/>
          <w:szCs w:val="24"/>
        </w:rPr>
        <w:t xml:space="preserve"> %8’in çok üstünde gerçekleşen Türkiye, 2009 yılında yaşadığı küçük düşüşten sonra kuvvetli ve ihtiyatlı görünümünü sürdürmüş ve aşağıdaki tabloda yer verilmiş bir çok gelişmiş ülkenin önüne geçmiştir. Sermaye kalitesinin göstergesi olan “ana sermayenin risk ağırlıklı varlıklara oranı” irdelendiğinde de Türkiye açısından diğer ülkelere kıyasla yüksek bir sermaye kalitesi apaçık ortaya çıkmaktadır.</w:t>
      </w:r>
      <w:r w:rsidR="00E80F67">
        <w:rPr>
          <w:sz w:val="24"/>
          <w:szCs w:val="24"/>
        </w:rPr>
        <w:t xml:space="preserve"> </w:t>
      </w:r>
    </w:p>
    <w:p w:rsidR="00E80F67" w:rsidRDefault="00E80F67" w:rsidP="00BB2937">
      <w:pPr>
        <w:spacing w:line="240" w:lineRule="auto"/>
        <w:ind w:firstLine="708"/>
        <w:jc w:val="both"/>
        <w:rPr>
          <w:sz w:val="24"/>
          <w:szCs w:val="24"/>
        </w:rPr>
      </w:pPr>
    </w:p>
    <w:p w:rsidR="00961002" w:rsidRPr="00961002" w:rsidRDefault="00961002" w:rsidP="00BB2937">
      <w:pPr>
        <w:pStyle w:val="NormalWeb"/>
        <w:jc w:val="center"/>
        <w:rPr>
          <w:b/>
          <w:sz w:val="32"/>
        </w:rPr>
      </w:pPr>
      <w:r>
        <w:rPr>
          <w:rFonts w:ascii="Century Gothic" w:hAnsi="Century Gothic"/>
          <w:b/>
          <w:color w:val="000000"/>
          <w:sz w:val="18"/>
          <w:szCs w:val="14"/>
        </w:rPr>
        <w:lastRenderedPageBreak/>
        <w:t>Tablo</w:t>
      </w:r>
      <w:r w:rsidRPr="00616244">
        <w:rPr>
          <w:rFonts w:ascii="Century Gothic" w:hAnsi="Century Gothic"/>
          <w:b/>
          <w:color w:val="000000"/>
          <w:sz w:val="18"/>
          <w:szCs w:val="14"/>
        </w:rPr>
        <w:t xml:space="preserve">: </w:t>
      </w:r>
      <w:r>
        <w:rPr>
          <w:rFonts w:ascii="Century Gothic" w:hAnsi="Century Gothic"/>
          <w:b/>
          <w:color w:val="000000"/>
          <w:sz w:val="18"/>
          <w:szCs w:val="14"/>
        </w:rPr>
        <w:t>Karlılık Oranları</w:t>
      </w:r>
    </w:p>
    <w:p w:rsidR="00961002" w:rsidRDefault="00961002" w:rsidP="00BB2937">
      <w:pPr>
        <w:spacing w:line="240" w:lineRule="auto"/>
        <w:jc w:val="both"/>
        <w:rPr>
          <w:sz w:val="24"/>
          <w:szCs w:val="24"/>
        </w:rPr>
      </w:pPr>
      <w:r>
        <w:rPr>
          <w:noProof/>
          <w:sz w:val="24"/>
          <w:szCs w:val="24"/>
          <w:lang w:eastAsia="tr-TR"/>
        </w:rPr>
        <w:drawing>
          <wp:inline distT="0" distB="0" distL="0" distR="0" wp14:anchorId="4DD6ED86" wp14:editId="4962FB15">
            <wp:extent cx="5760720" cy="2423957"/>
            <wp:effectExtent l="19050" t="19050" r="11430" b="14605"/>
            <wp:docPr id="29" name="Resi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0720" cy="2423957"/>
                    </a:xfrm>
                    <a:prstGeom prst="rect">
                      <a:avLst/>
                    </a:prstGeom>
                    <a:noFill/>
                    <a:ln>
                      <a:solidFill>
                        <a:schemeClr val="tx1"/>
                      </a:solidFill>
                    </a:ln>
                  </pic:spPr>
                </pic:pic>
              </a:graphicData>
            </a:graphic>
          </wp:inline>
        </w:drawing>
      </w:r>
      <w:r w:rsidRPr="00616244">
        <w:rPr>
          <w:sz w:val="14"/>
          <w:szCs w:val="24"/>
        </w:rPr>
        <w:t>Kaynak: BDDK</w:t>
      </w:r>
    </w:p>
    <w:p w:rsidR="00DF130A" w:rsidRDefault="002B02C3" w:rsidP="00BB2937">
      <w:pPr>
        <w:spacing w:line="240" w:lineRule="auto"/>
        <w:ind w:firstLine="708"/>
        <w:jc w:val="both"/>
        <w:rPr>
          <w:sz w:val="24"/>
          <w:szCs w:val="24"/>
        </w:rPr>
      </w:pPr>
      <w:r>
        <w:t>B</w:t>
      </w:r>
      <w:r w:rsidRPr="002B02C3">
        <w:rPr>
          <w:sz w:val="24"/>
          <w:szCs w:val="24"/>
        </w:rPr>
        <w:t>ankacılık sektörü karlılık analizi açısından incelendiğinde net kar kaleminin 2008 küresel krizinden bu güne artan bir trend gösterdiği, 2011 yılında maliyet artışlarına bağlı yaşanan azalmaya rağmen sektörün kar yaratmada ciddi bir potansiyeli olduğu görülmektedir. Buna göre 2008 yılında 13421 milyon TL net kar elde eden sektör, 2011 yılının ikinci çeyreğinin sonu itibariyle 10314 milyon TL kar elde etmiş ve bir önceki yılın aynı dönemine göre %15,2 azalmıştır. Buradaki azalmada TCMB tarafından getirilen zorunlu karşılık oranlarındaki artış ve bu karşılıklara faiz ödemesinin durdurulmasının faiz gelirlerini azaltması önemli rol oynamıştır.</w:t>
      </w:r>
    </w:p>
    <w:p w:rsidR="00DE15B5" w:rsidRPr="00DE15B5" w:rsidRDefault="00DE15B5" w:rsidP="00BB2937">
      <w:pPr>
        <w:spacing w:line="240" w:lineRule="auto"/>
        <w:ind w:firstLine="708"/>
        <w:jc w:val="both"/>
        <w:rPr>
          <w:b/>
          <w:sz w:val="24"/>
          <w:szCs w:val="24"/>
        </w:rPr>
      </w:pPr>
      <w:r w:rsidRPr="00DE15B5">
        <w:rPr>
          <w:b/>
          <w:sz w:val="24"/>
          <w:szCs w:val="24"/>
        </w:rPr>
        <w:t>Sonuç</w:t>
      </w:r>
    </w:p>
    <w:p w:rsidR="00CD654A" w:rsidRDefault="00512EFB" w:rsidP="00CD654A">
      <w:pPr>
        <w:spacing w:line="240" w:lineRule="auto"/>
        <w:ind w:firstLine="708"/>
        <w:jc w:val="both"/>
        <w:rPr>
          <w:sz w:val="24"/>
          <w:szCs w:val="24"/>
        </w:rPr>
      </w:pPr>
      <w:r>
        <w:rPr>
          <w:sz w:val="24"/>
          <w:szCs w:val="24"/>
        </w:rPr>
        <w:t>Bu sıkıntılı dönemde sö</w:t>
      </w:r>
      <w:r w:rsidRPr="00512EFB">
        <w:rPr>
          <w:sz w:val="24"/>
          <w:szCs w:val="24"/>
        </w:rPr>
        <w:t xml:space="preserve">z konusu krize </w:t>
      </w:r>
      <w:r>
        <w:rPr>
          <w:sz w:val="24"/>
          <w:szCs w:val="24"/>
        </w:rPr>
        <w:t xml:space="preserve">rakiplerine nazaran </w:t>
      </w:r>
      <w:r w:rsidRPr="00512EFB">
        <w:rPr>
          <w:sz w:val="24"/>
          <w:szCs w:val="24"/>
        </w:rPr>
        <w:t xml:space="preserve">daha </w:t>
      </w:r>
      <w:r>
        <w:rPr>
          <w:sz w:val="24"/>
          <w:szCs w:val="24"/>
        </w:rPr>
        <w:t>güçlü</w:t>
      </w:r>
      <w:r w:rsidRPr="00512EFB">
        <w:rPr>
          <w:sz w:val="24"/>
          <w:szCs w:val="24"/>
        </w:rPr>
        <w:t xml:space="preserve"> girdiği görülen Türk bankacılık sektörünün bu başarısında 2001 krizi sonrasında başarıyla gerçekleştirilen </w:t>
      </w:r>
      <w:r w:rsidR="00D80EAE">
        <w:rPr>
          <w:sz w:val="24"/>
          <w:szCs w:val="24"/>
        </w:rPr>
        <w:t>“</w:t>
      </w:r>
      <w:r w:rsidRPr="00512EFB">
        <w:rPr>
          <w:sz w:val="24"/>
          <w:szCs w:val="24"/>
        </w:rPr>
        <w:t xml:space="preserve">Bankacılık </w:t>
      </w:r>
      <w:r w:rsidR="00D80EAE" w:rsidRPr="00512EFB">
        <w:rPr>
          <w:sz w:val="24"/>
          <w:szCs w:val="24"/>
        </w:rPr>
        <w:t>Sektörü</w:t>
      </w:r>
      <w:r w:rsidRPr="00512EFB">
        <w:rPr>
          <w:sz w:val="24"/>
          <w:szCs w:val="24"/>
        </w:rPr>
        <w:t>̈ Yeniden Yapılan</w:t>
      </w:r>
      <w:r>
        <w:rPr>
          <w:sz w:val="24"/>
          <w:szCs w:val="24"/>
        </w:rPr>
        <w:t>dırma Programı</w:t>
      </w:r>
      <w:r w:rsidR="00D80EAE">
        <w:rPr>
          <w:sz w:val="24"/>
          <w:szCs w:val="24"/>
        </w:rPr>
        <w:t>”</w:t>
      </w:r>
      <w:r>
        <w:rPr>
          <w:sz w:val="24"/>
          <w:szCs w:val="24"/>
        </w:rPr>
        <w:t>nın sağladığı güçlü yapı ve başta merkez bankası olmak üzere tüm otorite sahibi kurumların ortaya koydukları etkin çalışmalar başrolü oynamıştır.</w:t>
      </w:r>
      <w:r w:rsidR="005B24C5">
        <w:rPr>
          <w:sz w:val="24"/>
          <w:szCs w:val="24"/>
        </w:rPr>
        <w:t xml:space="preserve"> Ancak </w:t>
      </w:r>
      <w:r w:rsidR="00B31B73">
        <w:rPr>
          <w:sz w:val="24"/>
          <w:szCs w:val="24"/>
        </w:rPr>
        <w:t xml:space="preserve">başarılı </w:t>
      </w:r>
      <w:r w:rsidR="005B24C5">
        <w:rPr>
          <w:sz w:val="24"/>
          <w:szCs w:val="24"/>
        </w:rPr>
        <w:t>yapılandırma programının dışında</w:t>
      </w:r>
      <w:r w:rsidR="00CE1030">
        <w:rPr>
          <w:sz w:val="24"/>
          <w:szCs w:val="24"/>
        </w:rPr>
        <w:t xml:space="preserve"> da</w:t>
      </w:r>
      <w:r w:rsidR="005B24C5">
        <w:rPr>
          <w:sz w:val="24"/>
          <w:szCs w:val="24"/>
        </w:rPr>
        <w:t xml:space="preserve"> </w:t>
      </w:r>
      <w:r w:rsidRPr="00512EFB">
        <w:rPr>
          <w:sz w:val="24"/>
          <w:szCs w:val="24"/>
        </w:rPr>
        <w:t>Türk Bankacılık Sektörü bazı yapısal fark</w:t>
      </w:r>
      <w:r w:rsidR="005B24C5">
        <w:rPr>
          <w:sz w:val="24"/>
          <w:szCs w:val="24"/>
        </w:rPr>
        <w:t xml:space="preserve">lılıkları nedeniyle diğer ülkelere göre daha güçlü kalmıştır. </w:t>
      </w:r>
    </w:p>
    <w:p w:rsidR="00CD654A" w:rsidRDefault="00CD654A" w:rsidP="00CD654A">
      <w:pPr>
        <w:spacing w:line="240" w:lineRule="auto"/>
        <w:ind w:firstLine="708"/>
        <w:jc w:val="both"/>
        <w:rPr>
          <w:sz w:val="24"/>
          <w:szCs w:val="24"/>
        </w:rPr>
      </w:pPr>
      <w:r>
        <w:rPr>
          <w:sz w:val="24"/>
          <w:szCs w:val="24"/>
        </w:rPr>
        <w:t xml:space="preserve">Öncelikle </w:t>
      </w:r>
      <w:r w:rsidRPr="00CD654A">
        <w:rPr>
          <w:sz w:val="24"/>
          <w:szCs w:val="24"/>
        </w:rPr>
        <w:t>BDDK bu süreçte çok özgün ve başarılı düzenleme-denetleme faaliyetini sürdürmüş ve ülke bankacılık sektörünü güçlü kılmıştır.</w:t>
      </w:r>
      <w:r>
        <w:rPr>
          <w:sz w:val="24"/>
          <w:szCs w:val="24"/>
        </w:rPr>
        <w:t xml:space="preserve"> </w:t>
      </w:r>
      <w:r w:rsidRPr="00CD654A">
        <w:rPr>
          <w:sz w:val="24"/>
          <w:szCs w:val="24"/>
        </w:rPr>
        <w:t>Ayrıca TCMB özellikle faizleri kontrol altında tutarak, daha kontrollü bir sürecin teminini sağlamış ve benzeri başarılı makroekonomik politikalarla sektörü desteklemiştir.</w:t>
      </w:r>
    </w:p>
    <w:p w:rsidR="00CD654A" w:rsidRDefault="00E20B22" w:rsidP="00CD654A">
      <w:pPr>
        <w:spacing w:line="240" w:lineRule="auto"/>
        <w:ind w:firstLine="708"/>
        <w:jc w:val="both"/>
        <w:rPr>
          <w:sz w:val="24"/>
          <w:szCs w:val="24"/>
        </w:rPr>
      </w:pPr>
      <w:r w:rsidRPr="00CE1030">
        <w:rPr>
          <w:sz w:val="24"/>
          <w:szCs w:val="24"/>
        </w:rPr>
        <w:t>Türkiye’de</w:t>
      </w:r>
      <w:r>
        <w:rPr>
          <w:sz w:val="24"/>
          <w:szCs w:val="24"/>
        </w:rPr>
        <w:t xml:space="preserve"> bankalar</w:t>
      </w:r>
      <w:r w:rsidR="00CD654A">
        <w:rPr>
          <w:sz w:val="24"/>
          <w:szCs w:val="24"/>
        </w:rPr>
        <w:t>,</w:t>
      </w:r>
      <w:r>
        <w:rPr>
          <w:sz w:val="24"/>
          <w:szCs w:val="24"/>
        </w:rPr>
        <w:t xml:space="preserve"> yüksek </w:t>
      </w:r>
      <w:r w:rsidR="00CD654A">
        <w:rPr>
          <w:sz w:val="24"/>
          <w:szCs w:val="24"/>
        </w:rPr>
        <w:t xml:space="preserve">kar </w:t>
      </w:r>
      <w:r>
        <w:rPr>
          <w:sz w:val="24"/>
          <w:szCs w:val="24"/>
        </w:rPr>
        <w:t>potansiyeline bağlı olarak geleneksel bankacılık anlayışını sürdürerek perakende bankacılığa</w:t>
      </w:r>
      <w:r w:rsidR="00CD654A">
        <w:rPr>
          <w:sz w:val="24"/>
          <w:szCs w:val="24"/>
        </w:rPr>
        <w:t xml:space="preserve"> daha fazla</w:t>
      </w:r>
      <w:r>
        <w:rPr>
          <w:sz w:val="24"/>
          <w:szCs w:val="24"/>
        </w:rPr>
        <w:t xml:space="preserve"> ağırlık vermiş</w:t>
      </w:r>
      <w:r w:rsidR="00D80EAE">
        <w:rPr>
          <w:sz w:val="24"/>
          <w:szCs w:val="24"/>
        </w:rPr>
        <w:t xml:space="preserve">, </w:t>
      </w:r>
      <w:r>
        <w:rPr>
          <w:sz w:val="24"/>
          <w:szCs w:val="24"/>
        </w:rPr>
        <w:t xml:space="preserve">dolayısıyla mortgage sistemi ve beraberinde daha da </w:t>
      </w:r>
      <w:r w:rsidR="00433258">
        <w:rPr>
          <w:sz w:val="24"/>
          <w:szCs w:val="24"/>
        </w:rPr>
        <w:t>karmaşık</w:t>
      </w:r>
      <w:r>
        <w:rPr>
          <w:sz w:val="24"/>
          <w:szCs w:val="24"/>
        </w:rPr>
        <w:t xml:space="preserve"> hale gelen menkul kıymetlerden uzak kalarak bu alandaki riskleri içselleştirmemişlerdir.</w:t>
      </w:r>
    </w:p>
    <w:p w:rsidR="00CD654A" w:rsidRDefault="00F364C9" w:rsidP="00CD654A">
      <w:pPr>
        <w:spacing w:line="240" w:lineRule="auto"/>
        <w:ind w:firstLine="708"/>
        <w:jc w:val="both"/>
        <w:rPr>
          <w:sz w:val="24"/>
          <w:szCs w:val="24"/>
        </w:rPr>
      </w:pPr>
      <w:r w:rsidRPr="00CD654A">
        <w:rPr>
          <w:sz w:val="24"/>
          <w:szCs w:val="24"/>
        </w:rPr>
        <w:t xml:space="preserve">Türkiye bu süreçte diğer gelişmekte olan ülkelerdeki kredi hacmi daralmasını yaşamamış, tersine kredi hacminde bir yükselme kaydetmiştir. Buna göre mevduat </w:t>
      </w:r>
      <w:r w:rsidR="00CD654A">
        <w:rPr>
          <w:sz w:val="24"/>
          <w:szCs w:val="24"/>
        </w:rPr>
        <w:t xml:space="preserve">yoluyla </w:t>
      </w:r>
      <w:r w:rsidR="00EA7E39" w:rsidRPr="00CD654A">
        <w:rPr>
          <w:sz w:val="24"/>
          <w:szCs w:val="24"/>
        </w:rPr>
        <w:t>finansman</w:t>
      </w:r>
      <w:r w:rsidR="00CD654A">
        <w:rPr>
          <w:sz w:val="24"/>
          <w:szCs w:val="24"/>
        </w:rPr>
        <w:t xml:space="preserve"> tedarik eden </w:t>
      </w:r>
      <w:r w:rsidR="00EA7E39" w:rsidRPr="00CD654A">
        <w:rPr>
          <w:sz w:val="24"/>
          <w:szCs w:val="24"/>
        </w:rPr>
        <w:t>bankacılık sistemi</w:t>
      </w:r>
      <w:r w:rsidR="00CD654A">
        <w:rPr>
          <w:sz w:val="24"/>
          <w:szCs w:val="24"/>
        </w:rPr>
        <w:t>,</w:t>
      </w:r>
      <w:r w:rsidR="00EA7E39" w:rsidRPr="00CD654A">
        <w:rPr>
          <w:sz w:val="24"/>
          <w:szCs w:val="24"/>
        </w:rPr>
        <w:t xml:space="preserve"> böylece yurtdışı fonlara olan ihtiyacını körelterek dışsal risklere karşı kendi</w:t>
      </w:r>
      <w:r w:rsidR="00D80EAE" w:rsidRPr="00CD654A">
        <w:rPr>
          <w:sz w:val="24"/>
          <w:szCs w:val="24"/>
        </w:rPr>
        <w:t>ni</w:t>
      </w:r>
      <w:r w:rsidR="00EA7E39" w:rsidRPr="00CD654A">
        <w:rPr>
          <w:sz w:val="24"/>
          <w:szCs w:val="24"/>
        </w:rPr>
        <w:t xml:space="preserve"> korumaya almıştır. </w:t>
      </w:r>
      <w:r w:rsidR="00CD654A">
        <w:rPr>
          <w:sz w:val="24"/>
          <w:szCs w:val="24"/>
        </w:rPr>
        <w:t>Bununla beraber,</w:t>
      </w:r>
      <w:r w:rsidR="00EA7E39" w:rsidRPr="00CD654A">
        <w:rPr>
          <w:sz w:val="24"/>
          <w:szCs w:val="24"/>
        </w:rPr>
        <w:t xml:space="preserve"> geliştirilen etkin risk yönetim süreçleri ve yürütülen sağlıklı kredi politikaları sayesinde takipteki kredi oranı asgari düzeyde </w:t>
      </w:r>
      <w:r w:rsidR="00CD654A">
        <w:rPr>
          <w:sz w:val="24"/>
          <w:szCs w:val="24"/>
        </w:rPr>
        <w:t>tutmaya imkân sağlamıştır.</w:t>
      </w:r>
    </w:p>
    <w:p w:rsidR="00B739BC" w:rsidRPr="00CD654A" w:rsidRDefault="00EA7E39" w:rsidP="00CD654A">
      <w:pPr>
        <w:spacing w:line="240" w:lineRule="auto"/>
        <w:ind w:firstLine="708"/>
        <w:jc w:val="both"/>
        <w:rPr>
          <w:sz w:val="24"/>
          <w:szCs w:val="24"/>
        </w:rPr>
      </w:pPr>
      <w:r w:rsidRPr="00CD654A">
        <w:rPr>
          <w:sz w:val="24"/>
          <w:szCs w:val="24"/>
        </w:rPr>
        <w:lastRenderedPageBreak/>
        <w:t xml:space="preserve">Diğer ülkelerin aksine döviz cinsinden borçlanmaları tercih etmeyen </w:t>
      </w:r>
      <w:r w:rsidR="00CD654A">
        <w:rPr>
          <w:sz w:val="24"/>
          <w:szCs w:val="24"/>
        </w:rPr>
        <w:t>Türkiye</w:t>
      </w:r>
      <w:r w:rsidRPr="00CD654A">
        <w:rPr>
          <w:sz w:val="24"/>
          <w:szCs w:val="24"/>
        </w:rPr>
        <w:t>, bu sayede kur riskini minimumda tutmayı başarmış</w:t>
      </w:r>
      <w:r w:rsidR="00CD654A">
        <w:rPr>
          <w:sz w:val="24"/>
          <w:szCs w:val="24"/>
        </w:rPr>
        <w:t xml:space="preserve"> ve </w:t>
      </w:r>
      <w:r w:rsidRPr="00CD654A">
        <w:rPr>
          <w:sz w:val="24"/>
          <w:szCs w:val="24"/>
        </w:rPr>
        <w:t xml:space="preserve">2001 krizinden beri </w:t>
      </w:r>
      <w:r w:rsidR="00433258" w:rsidRPr="00CD654A">
        <w:rPr>
          <w:sz w:val="24"/>
          <w:szCs w:val="24"/>
        </w:rPr>
        <w:t>yüksek</w:t>
      </w:r>
      <w:r w:rsidR="00512EFB" w:rsidRPr="00CD654A">
        <w:rPr>
          <w:sz w:val="24"/>
          <w:szCs w:val="24"/>
        </w:rPr>
        <w:t xml:space="preserve"> sermaye yeterlilik oranları</w:t>
      </w:r>
      <w:r w:rsidR="00CD654A">
        <w:rPr>
          <w:sz w:val="24"/>
          <w:szCs w:val="24"/>
        </w:rPr>
        <w:t xml:space="preserve"> ile </w:t>
      </w:r>
      <w:r w:rsidRPr="00CD654A">
        <w:rPr>
          <w:sz w:val="24"/>
          <w:szCs w:val="24"/>
        </w:rPr>
        <w:t>finansal kırılganlığı kontrol altında tutabilmiştir.</w:t>
      </w:r>
    </w:p>
    <w:p w:rsidR="004E4E64" w:rsidRDefault="00B739BC" w:rsidP="00BB2937">
      <w:pPr>
        <w:spacing w:line="240" w:lineRule="auto"/>
        <w:ind w:firstLine="708"/>
        <w:jc w:val="both"/>
        <w:rPr>
          <w:sz w:val="24"/>
          <w:szCs w:val="24"/>
        </w:rPr>
      </w:pPr>
      <w:r>
        <w:rPr>
          <w:sz w:val="24"/>
          <w:szCs w:val="24"/>
        </w:rPr>
        <w:t xml:space="preserve">2008 küresel krizinin ardından </w:t>
      </w:r>
      <w:r w:rsidR="00CD654A">
        <w:rPr>
          <w:sz w:val="24"/>
          <w:szCs w:val="24"/>
        </w:rPr>
        <w:t xml:space="preserve">halen </w:t>
      </w:r>
      <w:r>
        <w:rPr>
          <w:sz w:val="24"/>
          <w:szCs w:val="24"/>
        </w:rPr>
        <w:t>Türk bankacılık sektörünün önünde büyük bir gelişme potansiyeli durmaktadır.</w:t>
      </w:r>
      <w:r w:rsidR="00512EFB" w:rsidRPr="00512EFB">
        <w:rPr>
          <w:sz w:val="24"/>
          <w:szCs w:val="24"/>
        </w:rPr>
        <w:t xml:space="preserve"> </w:t>
      </w:r>
      <w:r w:rsidR="00CD654A">
        <w:rPr>
          <w:sz w:val="24"/>
          <w:szCs w:val="24"/>
        </w:rPr>
        <w:t xml:space="preserve">Özellikle </w:t>
      </w:r>
      <w:r>
        <w:rPr>
          <w:sz w:val="24"/>
          <w:szCs w:val="24"/>
        </w:rPr>
        <w:t>birçok gelişmiş ülkede önemli yer tutan çeşitli finansal ürünler</w:t>
      </w:r>
      <w:r w:rsidR="00123BDB">
        <w:rPr>
          <w:sz w:val="24"/>
          <w:szCs w:val="24"/>
        </w:rPr>
        <w:t xml:space="preserve"> ve bankacılık ürünleri</w:t>
      </w:r>
      <w:r>
        <w:rPr>
          <w:sz w:val="24"/>
          <w:szCs w:val="24"/>
        </w:rPr>
        <w:t xml:space="preserve"> ülkemizde hala gelişme aşamasında</w:t>
      </w:r>
      <w:r w:rsidR="005270BC">
        <w:rPr>
          <w:sz w:val="24"/>
          <w:szCs w:val="24"/>
        </w:rPr>
        <w:t xml:space="preserve"> olup</w:t>
      </w:r>
      <w:r w:rsidR="00611462">
        <w:rPr>
          <w:sz w:val="24"/>
          <w:szCs w:val="24"/>
        </w:rPr>
        <w:t xml:space="preserve"> </w:t>
      </w:r>
      <w:r w:rsidR="00CD654A">
        <w:rPr>
          <w:sz w:val="24"/>
          <w:szCs w:val="24"/>
        </w:rPr>
        <w:t>bu noktada önemli</w:t>
      </w:r>
      <w:r>
        <w:rPr>
          <w:sz w:val="24"/>
          <w:szCs w:val="24"/>
        </w:rPr>
        <w:t xml:space="preserve"> bir potansiyeli </w:t>
      </w:r>
      <w:r w:rsidR="00CD654A">
        <w:rPr>
          <w:sz w:val="24"/>
          <w:szCs w:val="24"/>
        </w:rPr>
        <w:t>ifade etmektedir</w:t>
      </w:r>
      <w:r>
        <w:rPr>
          <w:sz w:val="24"/>
          <w:szCs w:val="24"/>
        </w:rPr>
        <w:t>.</w:t>
      </w:r>
      <w:r w:rsidR="006378CC">
        <w:rPr>
          <w:sz w:val="24"/>
          <w:szCs w:val="24"/>
        </w:rPr>
        <w:t xml:space="preserve"> Bunun yanı sıra ü</w:t>
      </w:r>
      <w:r>
        <w:rPr>
          <w:sz w:val="24"/>
          <w:szCs w:val="24"/>
        </w:rPr>
        <w:t>lkenin artan nüfusu</w:t>
      </w:r>
      <w:r w:rsidR="005270BC">
        <w:rPr>
          <w:sz w:val="24"/>
          <w:szCs w:val="24"/>
        </w:rPr>
        <w:t>,</w:t>
      </w:r>
      <w:r>
        <w:rPr>
          <w:sz w:val="24"/>
          <w:szCs w:val="24"/>
        </w:rPr>
        <w:t xml:space="preserve"> gelecekte banka hizmetlerini tercih edecek olan potansiyel müşteri kitlesinin büyüklüğü de Türk bankacılık sektörünün gelişimini</w:t>
      </w:r>
      <w:r w:rsidR="00611462">
        <w:rPr>
          <w:sz w:val="24"/>
          <w:szCs w:val="24"/>
        </w:rPr>
        <w:t>n gelecek yıllarda</w:t>
      </w:r>
      <w:r>
        <w:rPr>
          <w:sz w:val="24"/>
          <w:szCs w:val="24"/>
        </w:rPr>
        <w:t xml:space="preserve"> olumlu yönde </w:t>
      </w:r>
      <w:r w:rsidR="00611462">
        <w:rPr>
          <w:sz w:val="24"/>
          <w:szCs w:val="24"/>
        </w:rPr>
        <w:t>değişeceğine işaret etmektedir</w:t>
      </w:r>
      <w:r>
        <w:rPr>
          <w:sz w:val="24"/>
          <w:szCs w:val="24"/>
        </w:rPr>
        <w:t xml:space="preserve">. </w:t>
      </w:r>
      <w:r w:rsidR="00D37F04">
        <w:rPr>
          <w:sz w:val="24"/>
          <w:szCs w:val="24"/>
        </w:rPr>
        <w:t xml:space="preserve">Başarılı </w:t>
      </w:r>
      <w:r w:rsidR="00CD654A">
        <w:rPr>
          <w:sz w:val="24"/>
          <w:szCs w:val="24"/>
        </w:rPr>
        <w:t xml:space="preserve">ve etkin </w:t>
      </w:r>
      <w:r w:rsidR="00123BDB">
        <w:rPr>
          <w:sz w:val="24"/>
          <w:szCs w:val="24"/>
        </w:rPr>
        <w:t>yönetmelik</w:t>
      </w:r>
      <w:r w:rsidR="00D37F04">
        <w:rPr>
          <w:sz w:val="24"/>
          <w:szCs w:val="24"/>
        </w:rPr>
        <w:t xml:space="preserve">, düzenleme-denetleme </w:t>
      </w:r>
      <w:r w:rsidR="00611462">
        <w:rPr>
          <w:sz w:val="24"/>
          <w:szCs w:val="24"/>
        </w:rPr>
        <w:t>faaliyetlerin</w:t>
      </w:r>
      <w:r w:rsidR="00CD654A">
        <w:rPr>
          <w:sz w:val="24"/>
          <w:szCs w:val="24"/>
        </w:rPr>
        <w:t>in</w:t>
      </w:r>
      <w:r w:rsidR="00611462">
        <w:rPr>
          <w:sz w:val="24"/>
          <w:szCs w:val="24"/>
        </w:rPr>
        <w:t xml:space="preserve"> </w:t>
      </w:r>
      <w:r w:rsidR="00D37F04">
        <w:rPr>
          <w:sz w:val="24"/>
          <w:szCs w:val="24"/>
        </w:rPr>
        <w:t xml:space="preserve">ve </w:t>
      </w:r>
      <w:r w:rsidR="003F312C">
        <w:rPr>
          <w:sz w:val="24"/>
          <w:szCs w:val="24"/>
        </w:rPr>
        <w:t>makroekonomik</w:t>
      </w:r>
      <w:r w:rsidR="001752CE">
        <w:rPr>
          <w:sz w:val="24"/>
          <w:szCs w:val="24"/>
        </w:rPr>
        <w:t xml:space="preserve"> </w:t>
      </w:r>
      <w:r w:rsidR="00D37F04">
        <w:rPr>
          <w:sz w:val="24"/>
          <w:szCs w:val="24"/>
        </w:rPr>
        <w:t>politikaların</w:t>
      </w:r>
      <w:r w:rsidR="00CD654A">
        <w:rPr>
          <w:sz w:val="24"/>
          <w:szCs w:val="24"/>
        </w:rPr>
        <w:t>ın</w:t>
      </w:r>
      <w:r w:rsidR="00D37F04">
        <w:rPr>
          <w:sz w:val="24"/>
          <w:szCs w:val="24"/>
        </w:rPr>
        <w:t xml:space="preserve"> devamı halinde Türk bankacılık sektörü</w:t>
      </w:r>
      <w:r w:rsidR="003F312C">
        <w:rPr>
          <w:sz w:val="24"/>
          <w:szCs w:val="24"/>
        </w:rPr>
        <w:t>,</w:t>
      </w:r>
      <w:r w:rsidR="00D37F04">
        <w:rPr>
          <w:sz w:val="24"/>
          <w:szCs w:val="24"/>
        </w:rPr>
        <w:t xml:space="preserve"> </w:t>
      </w:r>
      <w:r w:rsidR="001752CE">
        <w:rPr>
          <w:sz w:val="24"/>
          <w:szCs w:val="24"/>
        </w:rPr>
        <w:t xml:space="preserve">uluslararası arenada </w:t>
      </w:r>
      <w:r w:rsidR="00D37F04">
        <w:rPr>
          <w:sz w:val="24"/>
          <w:szCs w:val="24"/>
        </w:rPr>
        <w:t>sahip olduğu rekabet avantajını sürdüre</w:t>
      </w:r>
      <w:r w:rsidR="00611462">
        <w:rPr>
          <w:sz w:val="24"/>
          <w:szCs w:val="24"/>
        </w:rPr>
        <w:t>bilecektir.</w:t>
      </w:r>
    </w:p>
    <w:p w:rsidR="00DE15B5" w:rsidRDefault="00DE15B5" w:rsidP="00BB2937">
      <w:pPr>
        <w:spacing w:line="240" w:lineRule="auto"/>
        <w:ind w:firstLine="708"/>
        <w:jc w:val="both"/>
        <w:rPr>
          <w:sz w:val="24"/>
          <w:szCs w:val="24"/>
        </w:rPr>
      </w:pPr>
    </w:p>
    <w:p w:rsidR="00DE15B5" w:rsidRDefault="00DE15B5" w:rsidP="00BB2937">
      <w:pPr>
        <w:spacing w:line="240" w:lineRule="auto"/>
        <w:ind w:firstLine="708"/>
        <w:jc w:val="both"/>
        <w:rPr>
          <w:b/>
          <w:sz w:val="24"/>
          <w:szCs w:val="24"/>
        </w:rPr>
      </w:pPr>
      <w:r w:rsidRPr="00DE15B5">
        <w:rPr>
          <w:b/>
          <w:sz w:val="24"/>
          <w:szCs w:val="24"/>
        </w:rPr>
        <w:t>Kaynakça</w:t>
      </w:r>
    </w:p>
    <w:p w:rsidR="008D1762" w:rsidRDefault="001253D8" w:rsidP="008D1762">
      <w:pPr>
        <w:spacing w:line="240" w:lineRule="auto"/>
        <w:ind w:firstLine="708"/>
        <w:jc w:val="both"/>
        <w:rPr>
          <w:sz w:val="24"/>
          <w:szCs w:val="24"/>
        </w:rPr>
      </w:pPr>
      <w:r w:rsidRPr="008D1762">
        <w:rPr>
          <w:sz w:val="24"/>
          <w:szCs w:val="24"/>
        </w:rPr>
        <w:t>B</w:t>
      </w:r>
      <w:r w:rsidR="008D1762" w:rsidRPr="008D1762">
        <w:rPr>
          <w:sz w:val="24"/>
          <w:szCs w:val="24"/>
        </w:rPr>
        <w:t xml:space="preserve">DDK, </w:t>
      </w:r>
      <w:r w:rsidR="00C2193B">
        <w:rPr>
          <w:sz w:val="24"/>
          <w:szCs w:val="24"/>
        </w:rPr>
        <w:t>“</w:t>
      </w:r>
      <w:r w:rsidR="008D1762" w:rsidRPr="008D1762">
        <w:rPr>
          <w:sz w:val="24"/>
          <w:szCs w:val="24"/>
        </w:rPr>
        <w:t>Finansal Piyasalar Raporu 2011</w:t>
      </w:r>
      <w:r w:rsidR="00C2193B">
        <w:rPr>
          <w:sz w:val="24"/>
          <w:szCs w:val="24"/>
        </w:rPr>
        <w:t>”</w:t>
      </w:r>
      <w:r w:rsidR="008D1762" w:rsidRPr="008D1762">
        <w:rPr>
          <w:sz w:val="24"/>
          <w:szCs w:val="24"/>
        </w:rPr>
        <w:t>, Sayı:22, 2011</w:t>
      </w:r>
    </w:p>
    <w:p w:rsidR="003602B4" w:rsidRDefault="003602B4" w:rsidP="008D1762">
      <w:pPr>
        <w:spacing w:line="240" w:lineRule="auto"/>
        <w:ind w:firstLine="708"/>
        <w:jc w:val="both"/>
        <w:rPr>
          <w:sz w:val="24"/>
          <w:szCs w:val="24"/>
        </w:rPr>
      </w:pPr>
      <w:r>
        <w:rPr>
          <w:sz w:val="24"/>
          <w:szCs w:val="24"/>
        </w:rPr>
        <w:t xml:space="preserve">BDDK, </w:t>
      </w:r>
      <w:r w:rsidR="00C2193B">
        <w:rPr>
          <w:sz w:val="24"/>
          <w:szCs w:val="24"/>
        </w:rPr>
        <w:t>“</w:t>
      </w:r>
      <w:r>
        <w:rPr>
          <w:sz w:val="24"/>
          <w:szCs w:val="24"/>
        </w:rPr>
        <w:t>Türk Bankacılık Sektörü Genel Görünümü</w:t>
      </w:r>
      <w:r w:rsidR="00C2193B">
        <w:rPr>
          <w:sz w:val="24"/>
          <w:szCs w:val="24"/>
        </w:rPr>
        <w:t>”</w:t>
      </w:r>
      <w:r>
        <w:rPr>
          <w:sz w:val="24"/>
          <w:szCs w:val="24"/>
        </w:rPr>
        <w:t>, Haziran 2011</w:t>
      </w:r>
    </w:p>
    <w:p w:rsidR="007725D4" w:rsidRDefault="007725D4" w:rsidP="008D1762">
      <w:pPr>
        <w:spacing w:line="240" w:lineRule="auto"/>
        <w:ind w:firstLine="708"/>
        <w:jc w:val="both"/>
        <w:rPr>
          <w:sz w:val="24"/>
          <w:szCs w:val="24"/>
        </w:rPr>
      </w:pPr>
      <w:r>
        <w:rPr>
          <w:sz w:val="24"/>
          <w:szCs w:val="24"/>
        </w:rPr>
        <w:t xml:space="preserve">BDDK, </w:t>
      </w:r>
      <w:r w:rsidR="00C2193B">
        <w:rPr>
          <w:sz w:val="24"/>
          <w:szCs w:val="24"/>
        </w:rPr>
        <w:t>“</w:t>
      </w:r>
      <w:r w:rsidRPr="007725D4">
        <w:rPr>
          <w:sz w:val="24"/>
          <w:szCs w:val="24"/>
        </w:rPr>
        <w:t>Bankacılıkta Yapısal Geli</w:t>
      </w:r>
      <w:r>
        <w:rPr>
          <w:sz w:val="24"/>
          <w:szCs w:val="24"/>
        </w:rPr>
        <w:t>ş</w:t>
      </w:r>
      <w:r w:rsidRPr="007725D4">
        <w:rPr>
          <w:sz w:val="24"/>
          <w:szCs w:val="24"/>
        </w:rPr>
        <w:t>meler</w:t>
      </w:r>
      <w:r w:rsidR="00C2193B">
        <w:rPr>
          <w:sz w:val="24"/>
          <w:szCs w:val="24"/>
        </w:rPr>
        <w:t>”</w:t>
      </w:r>
      <w:r>
        <w:rPr>
          <w:sz w:val="24"/>
          <w:szCs w:val="24"/>
        </w:rPr>
        <w:t>, Sayı:5, Aralık 2010</w:t>
      </w:r>
    </w:p>
    <w:p w:rsidR="0007017D" w:rsidRPr="00C537F9" w:rsidRDefault="0007017D" w:rsidP="0007017D">
      <w:pPr>
        <w:spacing w:line="240" w:lineRule="auto"/>
        <w:ind w:firstLine="708"/>
        <w:jc w:val="both"/>
        <w:rPr>
          <w:sz w:val="24"/>
          <w:szCs w:val="24"/>
        </w:rPr>
      </w:pPr>
      <w:r w:rsidRPr="00C537F9">
        <w:rPr>
          <w:sz w:val="24"/>
          <w:szCs w:val="24"/>
        </w:rPr>
        <w:t>COŞKUN</w:t>
      </w:r>
      <w:r>
        <w:rPr>
          <w:sz w:val="24"/>
          <w:szCs w:val="24"/>
        </w:rPr>
        <w:t xml:space="preserve">, Yaprak Sevil ve </w:t>
      </w:r>
      <w:r w:rsidRPr="00C537F9">
        <w:rPr>
          <w:sz w:val="24"/>
          <w:szCs w:val="24"/>
        </w:rPr>
        <w:t>BALATAN</w:t>
      </w:r>
      <w:r>
        <w:rPr>
          <w:sz w:val="24"/>
          <w:szCs w:val="24"/>
        </w:rPr>
        <w:t xml:space="preserve">, </w:t>
      </w:r>
      <w:r w:rsidRPr="00C537F9">
        <w:rPr>
          <w:sz w:val="24"/>
          <w:szCs w:val="24"/>
        </w:rPr>
        <w:t xml:space="preserve">Zeynep, </w:t>
      </w:r>
      <w:r>
        <w:rPr>
          <w:sz w:val="24"/>
          <w:szCs w:val="24"/>
        </w:rPr>
        <w:t>“</w:t>
      </w:r>
      <w:r w:rsidRPr="00C537F9">
        <w:rPr>
          <w:sz w:val="24"/>
          <w:szCs w:val="24"/>
        </w:rPr>
        <w:t>Küresel Mali Krizin Bankacılık Sektörüne Etkileri Ve Türk Bankacılık Sektörünün Veri Zarflama Analizi İle Bilançoya Dayalı Mali Etkinlik Analizi</w:t>
      </w:r>
      <w:r>
        <w:rPr>
          <w:sz w:val="24"/>
          <w:szCs w:val="24"/>
        </w:rPr>
        <w:t xml:space="preserve">”, </w:t>
      </w:r>
      <w:r w:rsidRPr="00C537F9">
        <w:rPr>
          <w:sz w:val="24"/>
          <w:szCs w:val="24"/>
        </w:rPr>
        <w:t>1</w:t>
      </w:r>
      <w:r>
        <w:rPr>
          <w:sz w:val="24"/>
          <w:szCs w:val="24"/>
        </w:rPr>
        <w:t>2. İKTİSAT ÖĞRENCİLERİ KONGRESİ-</w:t>
      </w:r>
      <w:r w:rsidRPr="00C537F9">
        <w:rPr>
          <w:sz w:val="24"/>
          <w:szCs w:val="24"/>
        </w:rPr>
        <w:t>İzmir</w:t>
      </w:r>
      <w:r>
        <w:rPr>
          <w:sz w:val="24"/>
          <w:szCs w:val="24"/>
        </w:rPr>
        <w:t xml:space="preserve">, </w:t>
      </w:r>
      <w:r w:rsidRPr="00C537F9">
        <w:rPr>
          <w:sz w:val="24"/>
          <w:szCs w:val="24"/>
        </w:rPr>
        <w:t>7- 8 Mayıs 2009</w:t>
      </w:r>
    </w:p>
    <w:p w:rsidR="00FE43A7" w:rsidRDefault="00FE43A7" w:rsidP="00FE43A7">
      <w:pPr>
        <w:spacing w:line="240" w:lineRule="auto"/>
        <w:ind w:firstLine="708"/>
        <w:jc w:val="both"/>
        <w:rPr>
          <w:sz w:val="24"/>
          <w:szCs w:val="24"/>
        </w:rPr>
      </w:pPr>
      <w:r w:rsidRPr="008D1762">
        <w:rPr>
          <w:sz w:val="24"/>
          <w:szCs w:val="24"/>
        </w:rPr>
        <w:t xml:space="preserve">Deloitte, </w:t>
      </w:r>
      <w:r w:rsidR="00C2193B">
        <w:rPr>
          <w:sz w:val="24"/>
          <w:szCs w:val="24"/>
        </w:rPr>
        <w:t>“</w:t>
      </w:r>
      <w:r w:rsidRPr="008D1762">
        <w:rPr>
          <w:sz w:val="24"/>
          <w:szCs w:val="24"/>
        </w:rPr>
        <w:t>Türk Finans Sektörü 2011 Değerlendirme Raporu: Sağlamlık, Büyüme, Karlılık ve İstikrar</w:t>
      </w:r>
      <w:r w:rsidR="00C2193B">
        <w:rPr>
          <w:sz w:val="24"/>
          <w:szCs w:val="24"/>
        </w:rPr>
        <w:t>”</w:t>
      </w:r>
      <w:r w:rsidRPr="008D1762">
        <w:rPr>
          <w:sz w:val="24"/>
          <w:szCs w:val="24"/>
        </w:rPr>
        <w:t>, 2012</w:t>
      </w:r>
    </w:p>
    <w:p w:rsidR="00FE43A7" w:rsidRPr="008D1762" w:rsidRDefault="00FE43A7" w:rsidP="00FE43A7">
      <w:pPr>
        <w:spacing w:line="240" w:lineRule="auto"/>
        <w:ind w:firstLine="708"/>
        <w:jc w:val="both"/>
        <w:rPr>
          <w:sz w:val="24"/>
          <w:szCs w:val="24"/>
        </w:rPr>
      </w:pPr>
      <w:r w:rsidRPr="008D1762">
        <w:rPr>
          <w:sz w:val="24"/>
          <w:szCs w:val="24"/>
        </w:rPr>
        <w:t>Deloitte</w:t>
      </w:r>
      <w:r>
        <w:rPr>
          <w:sz w:val="24"/>
          <w:szCs w:val="24"/>
        </w:rPr>
        <w:t xml:space="preserve">, </w:t>
      </w:r>
      <w:r w:rsidR="00C2193B">
        <w:rPr>
          <w:sz w:val="24"/>
          <w:szCs w:val="24"/>
        </w:rPr>
        <w:t>“</w:t>
      </w:r>
      <w:r>
        <w:rPr>
          <w:sz w:val="24"/>
          <w:szCs w:val="24"/>
        </w:rPr>
        <w:t>Yeni Rotada Yeni Hedefler: Türkiye Finans Sektörü 2011</w:t>
      </w:r>
      <w:r w:rsidR="00C2193B">
        <w:rPr>
          <w:sz w:val="24"/>
          <w:szCs w:val="24"/>
        </w:rPr>
        <w:t>”</w:t>
      </w:r>
      <w:r>
        <w:rPr>
          <w:sz w:val="24"/>
          <w:szCs w:val="24"/>
        </w:rPr>
        <w:t>, 2011</w:t>
      </w:r>
    </w:p>
    <w:p w:rsidR="00C537F9" w:rsidRPr="00C537F9" w:rsidRDefault="001D49FA" w:rsidP="00C537F9">
      <w:pPr>
        <w:spacing w:line="240" w:lineRule="auto"/>
        <w:ind w:firstLine="708"/>
        <w:jc w:val="both"/>
        <w:rPr>
          <w:sz w:val="24"/>
          <w:szCs w:val="24"/>
        </w:rPr>
      </w:pPr>
      <w:r>
        <w:rPr>
          <w:sz w:val="24"/>
          <w:szCs w:val="24"/>
        </w:rPr>
        <w:t>T</w:t>
      </w:r>
      <w:r w:rsidR="003A1EEC">
        <w:rPr>
          <w:sz w:val="24"/>
          <w:szCs w:val="24"/>
        </w:rPr>
        <w:t>BB</w:t>
      </w:r>
      <w:r>
        <w:rPr>
          <w:sz w:val="24"/>
          <w:szCs w:val="24"/>
        </w:rPr>
        <w:t xml:space="preserve">, </w:t>
      </w:r>
      <w:r w:rsidR="00C2193B">
        <w:rPr>
          <w:sz w:val="24"/>
          <w:szCs w:val="24"/>
        </w:rPr>
        <w:t>“</w:t>
      </w:r>
      <w:r w:rsidR="000D68CF">
        <w:rPr>
          <w:sz w:val="24"/>
          <w:szCs w:val="24"/>
        </w:rPr>
        <w:t>Türkiye’de Bankacılık Sistemi Üçer Aylık Dönemler İtibariyle Banka Bilgileri</w:t>
      </w:r>
      <w:r w:rsidR="00C5665E">
        <w:rPr>
          <w:sz w:val="24"/>
          <w:szCs w:val="24"/>
        </w:rPr>
        <w:t xml:space="preserve"> (Son Dönem Karşılaştırmalı)</w:t>
      </w:r>
      <w:r w:rsidR="00C2193B">
        <w:rPr>
          <w:sz w:val="24"/>
          <w:szCs w:val="24"/>
        </w:rPr>
        <w:t>”</w:t>
      </w:r>
      <w:r w:rsidR="000D68CF">
        <w:rPr>
          <w:sz w:val="24"/>
          <w:szCs w:val="24"/>
        </w:rPr>
        <w:t>,</w:t>
      </w:r>
      <w:r w:rsidR="003A1EEC">
        <w:rPr>
          <w:sz w:val="24"/>
          <w:szCs w:val="24"/>
        </w:rPr>
        <w:t xml:space="preserve"> Rapor Kodu: DT08, </w:t>
      </w:r>
      <w:r w:rsidR="000D68CF">
        <w:rPr>
          <w:sz w:val="24"/>
          <w:szCs w:val="24"/>
        </w:rPr>
        <w:t xml:space="preserve"> </w:t>
      </w:r>
      <w:r w:rsidR="003A1EEC">
        <w:rPr>
          <w:sz w:val="24"/>
          <w:szCs w:val="24"/>
        </w:rPr>
        <w:t>Kasım</w:t>
      </w:r>
      <w:r w:rsidR="000D68CF">
        <w:rPr>
          <w:sz w:val="24"/>
          <w:szCs w:val="24"/>
        </w:rPr>
        <w:t xml:space="preserve"> 2011 </w:t>
      </w:r>
    </w:p>
    <w:p w:rsidR="000C6FC2" w:rsidRDefault="000C6FC2" w:rsidP="008D1762">
      <w:pPr>
        <w:spacing w:line="240" w:lineRule="auto"/>
        <w:ind w:firstLine="708"/>
        <w:jc w:val="both"/>
        <w:rPr>
          <w:sz w:val="24"/>
          <w:szCs w:val="24"/>
        </w:rPr>
      </w:pPr>
      <w:r>
        <w:rPr>
          <w:sz w:val="24"/>
          <w:szCs w:val="24"/>
        </w:rPr>
        <w:t>TCMB, “</w:t>
      </w:r>
      <w:r w:rsidRPr="000C6FC2">
        <w:rPr>
          <w:sz w:val="24"/>
          <w:szCs w:val="24"/>
        </w:rPr>
        <w:t>Finansal İstikrar Raporu</w:t>
      </w:r>
      <w:r>
        <w:rPr>
          <w:sz w:val="24"/>
          <w:szCs w:val="24"/>
        </w:rPr>
        <w:t xml:space="preserve">”, </w:t>
      </w:r>
      <w:r w:rsidRPr="000C6FC2">
        <w:rPr>
          <w:sz w:val="24"/>
          <w:szCs w:val="24"/>
        </w:rPr>
        <w:t>Aralık 2010</w:t>
      </w:r>
    </w:p>
    <w:p w:rsidR="00812286" w:rsidRPr="00C537F9" w:rsidRDefault="000C6FC2" w:rsidP="008D1762">
      <w:pPr>
        <w:spacing w:line="240" w:lineRule="auto"/>
        <w:ind w:firstLine="708"/>
        <w:jc w:val="both"/>
        <w:rPr>
          <w:sz w:val="24"/>
          <w:szCs w:val="24"/>
        </w:rPr>
      </w:pPr>
      <w:r w:rsidRPr="000C6FC2">
        <w:rPr>
          <w:sz w:val="24"/>
          <w:szCs w:val="24"/>
        </w:rPr>
        <w:t xml:space="preserve"> </w:t>
      </w:r>
      <w:r w:rsidR="00E8457D">
        <w:rPr>
          <w:sz w:val="24"/>
          <w:szCs w:val="24"/>
        </w:rPr>
        <w:t>SELÇUK, Bora, “</w:t>
      </w:r>
      <w:r w:rsidR="00E8457D" w:rsidRPr="00E8457D">
        <w:rPr>
          <w:sz w:val="24"/>
          <w:szCs w:val="24"/>
        </w:rPr>
        <w:t>Küresel Krizin Türk Finans Sektörü Üzerindeki Etkileri</w:t>
      </w:r>
      <w:r w:rsidR="00E8457D">
        <w:rPr>
          <w:sz w:val="24"/>
          <w:szCs w:val="24"/>
        </w:rPr>
        <w:t xml:space="preserve">”, Ekonomi Bilimleri Dergisi, </w:t>
      </w:r>
      <w:r w:rsidR="00E8457D" w:rsidRPr="00E8457D">
        <w:rPr>
          <w:sz w:val="24"/>
          <w:szCs w:val="24"/>
        </w:rPr>
        <w:t xml:space="preserve">Cilt 2, Sayı </w:t>
      </w:r>
      <w:r w:rsidR="00A00EB7">
        <w:rPr>
          <w:sz w:val="24"/>
          <w:szCs w:val="24"/>
        </w:rPr>
        <w:t>2, 2010 ISSN: 1309-8020, 2010</w:t>
      </w:r>
    </w:p>
    <w:p w:rsidR="0007017D" w:rsidRDefault="0007017D" w:rsidP="0007017D">
      <w:pPr>
        <w:spacing w:line="240" w:lineRule="auto"/>
        <w:ind w:firstLine="708"/>
        <w:jc w:val="both"/>
        <w:rPr>
          <w:sz w:val="24"/>
          <w:szCs w:val="24"/>
        </w:rPr>
      </w:pPr>
      <w:r>
        <w:rPr>
          <w:sz w:val="24"/>
          <w:szCs w:val="24"/>
        </w:rPr>
        <w:t>YÜCE, Burcu Civelek, “Küresel Finansal Kriz ve Türk Bankacılık Sektörü”, Boğaziçi Üniversitesi Leaders Dergisi, Kasım 2009</w:t>
      </w:r>
    </w:p>
    <w:p w:rsidR="00477E6A" w:rsidRPr="00DE15B5" w:rsidRDefault="00477E6A" w:rsidP="00BB2937">
      <w:pPr>
        <w:spacing w:line="240" w:lineRule="auto"/>
        <w:ind w:firstLine="708"/>
        <w:jc w:val="both"/>
        <w:rPr>
          <w:b/>
          <w:sz w:val="24"/>
          <w:szCs w:val="24"/>
        </w:rPr>
      </w:pPr>
    </w:p>
    <w:sectPr w:rsidR="00477E6A" w:rsidRPr="00DE15B5" w:rsidSect="001752CE">
      <w:pgSz w:w="11906" w:h="16838"/>
      <w:pgMar w:top="1560"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701CCB"/>
    <w:multiLevelType w:val="hybridMultilevel"/>
    <w:tmpl w:val="C2887EB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2A3"/>
    <w:rsid w:val="000642A3"/>
    <w:rsid w:val="0007017D"/>
    <w:rsid w:val="00071DEB"/>
    <w:rsid w:val="000C6FC2"/>
    <w:rsid w:val="000D68CF"/>
    <w:rsid w:val="000D6E03"/>
    <w:rsid w:val="001023B9"/>
    <w:rsid w:val="00115B71"/>
    <w:rsid w:val="00123BDB"/>
    <w:rsid w:val="001253D8"/>
    <w:rsid w:val="00130C81"/>
    <w:rsid w:val="00131D34"/>
    <w:rsid w:val="00165193"/>
    <w:rsid w:val="00171886"/>
    <w:rsid w:val="001752CE"/>
    <w:rsid w:val="00184C4F"/>
    <w:rsid w:val="001A01CD"/>
    <w:rsid w:val="001B4CA8"/>
    <w:rsid w:val="001D49FA"/>
    <w:rsid w:val="00285D7F"/>
    <w:rsid w:val="002B02C3"/>
    <w:rsid w:val="002F204F"/>
    <w:rsid w:val="003602B4"/>
    <w:rsid w:val="00397824"/>
    <w:rsid w:val="00397DB5"/>
    <w:rsid w:val="003A1EEC"/>
    <w:rsid w:val="003A6D45"/>
    <w:rsid w:val="003A7123"/>
    <w:rsid w:val="003C471A"/>
    <w:rsid w:val="003D1757"/>
    <w:rsid w:val="003F30D6"/>
    <w:rsid w:val="003F312C"/>
    <w:rsid w:val="00433258"/>
    <w:rsid w:val="00451E84"/>
    <w:rsid w:val="00477E6A"/>
    <w:rsid w:val="004922BC"/>
    <w:rsid w:val="004C6C58"/>
    <w:rsid w:val="004E4E64"/>
    <w:rsid w:val="00512EFB"/>
    <w:rsid w:val="00514130"/>
    <w:rsid w:val="005270BC"/>
    <w:rsid w:val="00532768"/>
    <w:rsid w:val="005365C1"/>
    <w:rsid w:val="005415E3"/>
    <w:rsid w:val="00595FBE"/>
    <w:rsid w:val="005B24C5"/>
    <w:rsid w:val="00607CA5"/>
    <w:rsid w:val="00611462"/>
    <w:rsid w:val="00614327"/>
    <w:rsid w:val="00616244"/>
    <w:rsid w:val="006378CC"/>
    <w:rsid w:val="0066227A"/>
    <w:rsid w:val="006966EE"/>
    <w:rsid w:val="006A5325"/>
    <w:rsid w:val="006A5CA7"/>
    <w:rsid w:val="006C1E4E"/>
    <w:rsid w:val="006E66E0"/>
    <w:rsid w:val="006F6378"/>
    <w:rsid w:val="00710FD0"/>
    <w:rsid w:val="007725D4"/>
    <w:rsid w:val="007F7AF1"/>
    <w:rsid w:val="00812286"/>
    <w:rsid w:val="0082146B"/>
    <w:rsid w:val="00841104"/>
    <w:rsid w:val="00895EE0"/>
    <w:rsid w:val="008C1BAE"/>
    <w:rsid w:val="008C5051"/>
    <w:rsid w:val="008D1762"/>
    <w:rsid w:val="00912E10"/>
    <w:rsid w:val="0095544A"/>
    <w:rsid w:val="00961002"/>
    <w:rsid w:val="009B5FA5"/>
    <w:rsid w:val="009D0035"/>
    <w:rsid w:val="009D739C"/>
    <w:rsid w:val="009E08A1"/>
    <w:rsid w:val="009E63EC"/>
    <w:rsid w:val="00A00EB7"/>
    <w:rsid w:val="00A12627"/>
    <w:rsid w:val="00A65023"/>
    <w:rsid w:val="00AB407B"/>
    <w:rsid w:val="00AE3227"/>
    <w:rsid w:val="00B31B73"/>
    <w:rsid w:val="00B676BC"/>
    <w:rsid w:val="00B739BC"/>
    <w:rsid w:val="00B814A9"/>
    <w:rsid w:val="00BB2937"/>
    <w:rsid w:val="00BF6502"/>
    <w:rsid w:val="00C154F2"/>
    <w:rsid w:val="00C17568"/>
    <w:rsid w:val="00C2193B"/>
    <w:rsid w:val="00C534E8"/>
    <w:rsid w:val="00C537F9"/>
    <w:rsid w:val="00C5665E"/>
    <w:rsid w:val="00C71790"/>
    <w:rsid w:val="00CA4F83"/>
    <w:rsid w:val="00CA7298"/>
    <w:rsid w:val="00CD654A"/>
    <w:rsid w:val="00CE1030"/>
    <w:rsid w:val="00CF20D1"/>
    <w:rsid w:val="00CF7CCC"/>
    <w:rsid w:val="00CF7F74"/>
    <w:rsid w:val="00D37F04"/>
    <w:rsid w:val="00D80EAE"/>
    <w:rsid w:val="00D93AF0"/>
    <w:rsid w:val="00DB4AA3"/>
    <w:rsid w:val="00DE15B5"/>
    <w:rsid w:val="00DF130A"/>
    <w:rsid w:val="00E16BB9"/>
    <w:rsid w:val="00E20B22"/>
    <w:rsid w:val="00E80F67"/>
    <w:rsid w:val="00E8457D"/>
    <w:rsid w:val="00EA7E39"/>
    <w:rsid w:val="00F364C9"/>
    <w:rsid w:val="00F70CAD"/>
    <w:rsid w:val="00FB3A2B"/>
    <w:rsid w:val="00FB43CB"/>
    <w:rsid w:val="00FE43A7"/>
    <w:rsid w:val="00FE7C6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1">
    <w:name w:val="Body 1"/>
    <w:rsid w:val="00512EFB"/>
    <w:pPr>
      <w:outlineLvl w:val="0"/>
    </w:pPr>
    <w:rPr>
      <w:rFonts w:ascii="Helvetica" w:eastAsia="Arial Unicode MS" w:hAnsi="Helvetica" w:cs="Times New Roman"/>
      <w:color w:val="000000"/>
      <w:szCs w:val="20"/>
      <w:u w:color="000000"/>
      <w:lang w:eastAsia="tr-TR"/>
    </w:rPr>
  </w:style>
  <w:style w:type="paragraph" w:styleId="ListeParagraf">
    <w:name w:val="List Paragraph"/>
    <w:basedOn w:val="Normal"/>
    <w:uiPriority w:val="34"/>
    <w:qFormat/>
    <w:rsid w:val="00CE1030"/>
    <w:pPr>
      <w:ind w:left="720"/>
      <w:contextualSpacing/>
    </w:pPr>
  </w:style>
  <w:style w:type="paragraph" w:styleId="NormalWeb">
    <w:name w:val="Normal (Web)"/>
    <w:basedOn w:val="Normal"/>
    <w:uiPriority w:val="99"/>
    <w:unhideWhenUsed/>
    <w:rsid w:val="006162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162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6244"/>
    <w:rPr>
      <w:rFonts w:ascii="Tahoma" w:hAnsi="Tahoma" w:cs="Tahoma"/>
      <w:sz w:val="16"/>
      <w:szCs w:val="16"/>
    </w:rPr>
  </w:style>
  <w:style w:type="character" w:styleId="Kpr">
    <w:name w:val="Hyperlink"/>
    <w:basedOn w:val="VarsaylanParagrafYazTipi"/>
    <w:uiPriority w:val="99"/>
    <w:unhideWhenUsed/>
    <w:rsid w:val="006C1E4E"/>
    <w:rPr>
      <w:color w:val="0000FF" w:themeColor="hyperlink"/>
      <w:u w:val="single"/>
    </w:rPr>
  </w:style>
  <w:style w:type="paragraph" w:customStyle="1" w:styleId="Default">
    <w:name w:val="Default"/>
    <w:rsid w:val="00C537F9"/>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ody1">
    <w:name w:val="Body 1"/>
    <w:rsid w:val="00512EFB"/>
    <w:pPr>
      <w:outlineLvl w:val="0"/>
    </w:pPr>
    <w:rPr>
      <w:rFonts w:ascii="Helvetica" w:eastAsia="Arial Unicode MS" w:hAnsi="Helvetica" w:cs="Times New Roman"/>
      <w:color w:val="000000"/>
      <w:szCs w:val="20"/>
      <w:u w:color="000000"/>
      <w:lang w:eastAsia="tr-TR"/>
    </w:rPr>
  </w:style>
  <w:style w:type="paragraph" w:styleId="ListeParagraf">
    <w:name w:val="List Paragraph"/>
    <w:basedOn w:val="Normal"/>
    <w:uiPriority w:val="34"/>
    <w:qFormat/>
    <w:rsid w:val="00CE1030"/>
    <w:pPr>
      <w:ind w:left="720"/>
      <w:contextualSpacing/>
    </w:pPr>
  </w:style>
  <w:style w:type="paragraph" w:styleId="NormalWeb">
    <w:name w:val="Normal (Web)"/>
    <w:basedOn w:val="Normal"/>
    <w:uiPriority w:val="99"/>
    <w:unhideWhenUsed/>
    <w:rsid w:val="0061624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6162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16244"/>
    <w:rPr>
      <w:rFonts w:ascii="Tahoma" w:hAnsi="Tahoma" w:cs="Tahoma"/>
      <w:sz w:val="16"/>
      <w:szCs w:val="16"/>
    </w:rPr>
  </w:style>
  <w:style w:type="character" w:styleId="Kpr">
    <w:name w:val="Hyperlink"/>
    <w:basedOn w:val="VarsaylanParagrafYazTipi"/>
    <w:uiPriority w:val="99"/>
    <w:unhideWhenUsed/>
    <w:rsid w:val="006C1E4E"/>
    <w:rPr>
      <w:color w:val="0000FF" w:themeColor="hyperlink"/>
      <w:u w:val="single"/>
    </w:rPr>
  </w:style>
  <w:style w:type="paragraph" w:customStyle="1" w:styleId="Default">
    <w:name w:val="Default"/>
    <w:rsid w:val="00C537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5677">
      <w:bodyDiv w:val="1"/>
      <w:marLeft w:val="0"/>
      <w:marRight w:val="0"/>
      <w:marTop w:val="0"/>
      <w:marBottom w:val="0"/>
      <w:divBdr>
        <w:top w:val="none" w:sz="0" w:space="0" w:color="auto"/>
        <w:left w:val="none" w:sz="0" w:space="0" w:color="auto"/>
        <w:bottom w:val="none" w:sz="0" w:space="0" w:color="auto"/>
        <w:right w:val="none" w:sz="0" w:space="0" w:color="auto"/>
      </w:divBdr>
    </w:div>
    <w:div w:id="168494192">
      <w:bodyDiv w:val="1"/>
      <w:marLeft w:val="0"/>
      <w:marRight w:val="0"/>
      <w:marTop w:val="0"/>
      <w:marBottom w:val="0"/>
      <w:divBdr>
        <w:top w:val="none" w:sz="0" w:space="0" w:color="auto"/>
        <w:left w:val="none" w:sz="0" w:space="0" w:color="auto"/>
        <w:bottom w:val="none" w:sz="0" w:space="0" w:color="auto"/>
        <w:right w:val="none" w:sz="0" w:space="0" w:color="auto"/>
      </w:divBdr>
    </w:div>
    <w:div w:id="348604352">
      <w:bodyDiv w:val="1"/>
      <w:marLeft w:val="0"/>
      <w:marRight w:val="0"/>
      <w:marTop w:val="0"/>
      <w:marBottom w:val="0"/>
      <w:divBdr>
        <w:top w:val="none" w:sz="0" w:space="0" w:color="auto"/>
        <w:left w:val="none" w:sz="0" w:space="0" w:color="auto"/>
        <w:bottom w:val="none" w:sz="0" w:space="0" w:color="auto"/>
        <w:right w:val="none" w:sz="0" w:space="0" w:color="auto"/>
      </w:divBdr>
    </w:div>
    <w:div w:id="350690477">
      <w:bodyDiv w:val="1"/>
      <w:marLeft w:val="0"/>
      <w:marRight w:val="0"/>
      <w:marTop w:val="0"/>
      <w:marBottom w:val="0"/>
      <w:divBdr>
        <w:top w:val="none" w:sz="0" w:space="0" w:color="auto"/>
        <w:left w:val="none" w:sz="0" w:space="0" w:color="auto"/>
        <w:bottom w:val="none" w:sz="0" w:space="0" w:color="auto"/>
        <w:right w:val="none" w:sz="0" w:space="0" w:color="auto"/>
      </w:divBdr>
    </w:div>
    <w:div w:id="987174360">
      <w:bodyDiv w:val="1"/>
      <w:marLeft w:val="0"/>
      <w:marRight w:val="0"/>
      <w:marTop w:val="0"/>
      <w:marBottom w:val="0"/>
      <w:divBdr>
        <w:top w:val="none" w:sz="0" w:space="0" w:color="auto"/>
        <w:left w:val="none" w:sz="0" w:space="0" w:color="auto"/>
        <w:bottom w:val="none" w:sz="0" w:space="0" w:color="auto"/>
        <w:right w:val="none" w:sz="0" w:space="0" w:color="auto"/>
      </w:divBdr>
    </w:div>
    <w:div w:id="1087385244">
      <w:bodyDiv w:val="1"/>
      <w:marLeft w:val="0"/>
      <w:marRight w:val="0"/>
      <w:marTop w:val="0"/>
      <w:marBottom w:val="0"/>
      <w:divBdr>
        <w:top w:val="none" w:sz="0" w:space="0" w:color="auto"/>
        <w:left w:val="none" w:sz="0" w:space="0" w:color="auto"/>
        <w:bottom w:val="none" w:sz="0" w:space="0" w:color="auto"/>
        <w:right w:val="none" w:sz="0" w:space="0" w:color="auto"/>
      </w:divBdr>
    </w:div>
    <w:div w:id="1302804175">
      <w:bodyDiv w:val="1"/>
      <w:marLeft w:val="0"/>
      <w:marRight w:val="0"/>
      <w:marTop w:val="0"/>
      <w:marBottom w:val="0"/>
      <w:divBdr>
        <w:top w:val="none" w:sz="0" w:space="0" w:color="auto"/>
        <w:left w:val="none" w:sz="0" w:space="0" w:color="auto"/>
        <w:bottom w:val="none" w:sz="0" w:space="0" w:color="auto"/>
        <w:right w:val="none" w:sz="0" w:space="0" w:color="auto"/>
      </w:divBdr>
    </w:div>
    <w:div w:id="1347632302">
      <w:bodyDiv w:val="1"/>
      <w:marLeft w:val="0"/>
      <w:marRight w:val="0"/>
      <w:marTop w:val="0"/>
      <w:marBottom w:val="0"/>
      <w:divBdr>
        <w:top w:val="none" w:sz="0" w:space="0" w:color="auto"/>
        <w:left w:val="none" w:sz="0" w:space="0" w:color="auto"/>
        <w:bottom w:val="none" w:sz="0" w:space="0" w:color="auto"/>
        <w:right w:val="none" w:sz="0" w:space="0" w:color="auto"/>
      </w:divBdr>
    </w:div>
    <w:div w:id="1416899996">
      <w:bodyDiv w:val="1"/>
      <w:marLeft w:val="0"/>
      <w:marRight w:val="0"/>
      <w:marTop w:val="0"/>
      <w:marBottom w:val="0"/>
      <w:divBdr>
        <w:top w:val="none" w:sz="0" w:space="0" w:color="auto"/>
        <w:left w:val="none" w:sz="0" w:space="0" w:color="auto"/>
        <w:bottom w:val="none" w:sz="0" w:space="0" w:color="auto"/>
        <w:right w:val="none" w:sz="0" w:space="0" w:color="auto"/>
      </w:divBdr>
    </w:div>
    <w:div w:id="1806854615">
      <w:bodyDiv w:val="1"/>
      <w:marLeft w:val="0"/>
      <w:marRight w:val="0"/>
      <w:marTop w:val="0"/>
      <w:marBottom w:val="0"/>
      <w:divBdr>
        <w:top w:val="none" w:sz="0" w:space="0" w:color="auto"/>
        <w:left w:val="none" w:sz="0" w:space="0" w:color="auto"/>
        <w:bottom w:val="none" w:sz="0" w:space="0" w:color="auto"/>
        <w:right w:val="none" w:sz="0" w:space="0" w:color="auto"/>
      </w:divBdr>
    </w:div>
    <w:div w:id="1890608585">
      <w:bodyDiv w:val="1"/>
      <w:marLeft w:val="0"/>
      <w:marRight w:val="0"/>
      <w:marTop w:val="0"/>
      <w:marBottom w:val="0"/>
      <w:divBdr>
        <w:top w:val="none" w:sz="0" w:space="0" w:color="auto"/>
        <w:left w:val="none" w:sz="0" w:space="0" w:color="auto"/>
        <w:bottom w:val="none" w:sz="0" w:space="0" w:color="auto"/>
        <w:right w:val="none" w:sz="0" w:space="0" w:color="auto"/>
      </w:divBdr>
    </w:div>
    <w:div w:id="1941208788">
      <w:bodyDiv w:val="1"/>
      <w:marLeft w:val="0"/>
      <w:marRight w:val="0"/>
      <w:marTop w:val="0"/>
      <w:marBottom w:val="0"/>
      <w:divBdr>
        <w:top w:val="none" w:sz="0" w:space="0" w:color="auto"/>
        <w:left w:val="none" w:sz="0" w:space="0" w:color="auto"/>
        <w:bottom w:val="none" w:sz="0" w:space="0" w:color="auto"/>
        <w:right w:val="none" w:sz="0" w:space="0" w:color="auto"/>
      </w:divBdr>
    </w:div>
    <w:div w:id="20255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7.emf"/><Relationship Id="rId3" Type="http://schemas.microsoft.com/office/2007/relationships/stylesWithEffects" Target="stylesWithEffects.xml"/><Relationship Id="rId7" Type="http://schemas.openxmlformats.org/officeDocument/2006/relationships/image" Target="media/image2.emf"/><Relationship Id="rId12" Type="http://schemas.openxmlformats.org/officeDocument/2006/relationships/hyperlink" Target="http://fsi.imf.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8.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2436</Words>
  <Characters>13889</Characters>
  <Application>Microsoft Office Word</Application>
  <DocSecurity>0</DocSecurity>
  <Lines>115</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Güçlü</dc:creator>
  <cp:lastModifiedBy>OKAY</cp:lastModifiedBy>
  <cp:revision>2</cp:revision>
  <dcterms:created xsi:type="dcterms:W3CDTF">2012-05-02T12:41:00Z</dcterms:created>
  <dcterms:modified xsi:type="dcterms:W3CDTF">2012-05-02T12:41:00Z</dcterms:modified>
</cp:coreProperties>
</file>